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5620" w14:textId="77777777" w:rsidR="00360426" w:rsidRPr="005125A0" w:rsidRDefault="007C30D9" w:rsidP="005125A0">
      <w:pPr>
        <w:jc w:val="center"/>
        <w:rPr>
          <w:b/>
          <w:sz w:val="22"/>
          <w:szCs w:val="22"/>
        </w:rPr>
      </w:pPr>
      <w:r w:rsidRPr="005125A0">
        <w:rPr>
          <w:b/>
          <w:sz w:val="22"/>
          <w:szCs w:val="22"/>
        </w:rPr>
        <w:t>UK Trade Options beyond 2019 Inquiry</w:t>
      </w:r>
    </w:p>
    <w:p w14:paraId="1A22F90C" w14:textId="77777777" w:rsidR="007C30D9" w:rsidRPr="005125A0" w:rsidRDefault="007C30D9" w:rsidP="005125A0">
      <w:pPr>
        <w:jc w:val="center"/>
        <w:rPr>
          <w:b/>
          <w:sz w:val="22"/>
          <w:szCs w:val="22"/>
        </w:rPr>
      </w:pPr>
      <w:r w:rsidRPr="005125A0">
        <w:rPr>
          <w:b/>
          <w:sz w:val="22"/>
          <w:szCs w:val="22"/>
        </w:rPr>
        <w:t>Submission from Keep Our NHS Public</w:t>
      </w:r>
    </w:p>
    <w:p w14:paraId="4AB8F8BB" w14:textId="77777777" w:rsidR="007C30D9" w:rsidRPr="005125A0" w:rsidRDefault="007C30D9" w:rsidP="005125A0">
      <w:pPr>
        <w:jc w:val="center"/>
        <w:rPr>
          <w:b/>
          <w:sz w:val="22"/>
          <w:szCs w:val="22"/>
        </w:rPr>
      </w:pPr>
      <w:r w:rsidRPr="005125A0">
        <w:rPr>
          <w:b/>
          <w:sz w:val="22"/>
          <w:szCs w:val="22"/>
        </w:rPr>
        <w:t>January 2017</w:t>
      </w:r>
    </w:p>
    <w:p w14:paraId="352B00B1" w14:textId="77777777" w:rsidR="007C30D9" w:rsidRPr="005125A0" w:rsidRDefault="007C30D9">
      <w:pPr>
        <w:rPr>
          <w:sz w:val="22"/>
          <w:szCs w:val="22"/>
        </w:rPr>
      </w:pPr>
    </w:p>
    <w:p w14:paraId="4AF37E53" w14:textId="345951F4" w:rsidR="003E60AB" w:rsidRPr="005125A0" w:rsidRDefault="00705C0C" w:rsidP="005125A0">
      <w:pPr>
        <w:pStyle w:val="ListParagraph"/>
        <w:numPr>
          <w:ilvl w:val="0"/>
          <w:numId w:val="5"/>
        </w:numPr>
        <w:rPr>
          <w:sz w:val="22"/>
          <w:szCs w:val="22"/>
        </w:rPr>
      </w:pPr>
      <w:r w:rsidRPr="005125A0">
        <w:rPr>
          <w:sz w:val="22"/>
          <w:szCs w:val="22"/>
        </w:rPr>
        <w:t>We are writing on behalf of Keep Our NHS Public (</w:t>
      </w:r>
      <w:r w:rsidR="00D35CDC" w:rsidRPr="005125A0">
        <w:rPr>
          <w:sz w:val="22"/>
          <w:szCs w:val="22"/>
        </w:rPr>
        <w:t>KONP</w:t>
      </w:r>
      <w:r w:rsidRPr="005125A0">
        <w:rPr>
          <w:sz w:val="22"/>
          <w:szCs w:val="22"/>
        </w:rPr>
        <w:t>), a civil society group concerned about the future of the NHS as a</w:t>
      </w:r>
      <w:r w:rsidR="00F76AF4" w:rsidRPr="005125A0">
        <w:rPr>
          <w:sz w:val="22"/>
          <w:szCs w:val="22"/>
        </w:rPr>
        <w:t xml:space="preserve"> comprehensive,</w:t>
      </w:r>
      <w:r w:rsidRPr="005125A0">
        <w:rPr>
          <w:sz w:val="22"/>
          <w:szCs w:val="22"/>
        </w:rPr>
        <w:t xml:space="preserve"> publicl</w:t>
      </w:r>
      <w:r w:rsidR="00971D23" w:rsidRPr="005125A0">
        <w:rPr>
          <w:sz w:val="22"/>
          <w:szCs w:val="22"/>
        </w:rPr>
        <w:t>y provided</w:t>
      </w:r>
      <w:r w:rsidR="00F76AF4" w:rsidRPr="005125A0">
        <w:rPr>
          <w:sz w:val="22"/>
          <w:szCs w:val="22"/>
        </w:rPr>
        <w:t xml:space="preserve"> and publicly accountable </w:t>
      </w:r>
      <w:r w:rsidRPr="005125A0">
        <w:rPr>
          <w:sz w:val="22"/>
          <w:szCs w:val="22"/>
        </w:rPr>
        <w:t>health service</w:t>
      </w:r>
      <w:r w:rsidR="00971D23" w:rsidRPr="005125A0">
        <w:rPr>
          <w:sz w:val="22"/>
          <w:szCs w:val="22"/>
        </w:rPr>
        <w:t>,</w:t>
      </w:r>
      <w:r w:rsidR="005125A0">
        <w:rPr>
          <w:sz w:val="22"/>
          <w:szCs w:val="22"/>
        </w:rPr>
        <w:t xml:space="preserve"> funded from</w:t>
      </w:r>
      <w:r w:rsidRPr="005125A0">
        <w:rPr>
          <w:sz w:val="22"/>
          <w:szCs w:val="22"/>
        </w:rPr>
        <w:t xml:space="preserve"> public taxation and free at the point of use</w:t>
      </w:r>
      <w:r w:rsidR="00D35CDC" w:rsidRPr="005125A0">
        <w:rPr>
          <w:sz w:val="22"/>
          <w:szCs w:val="22"/>
        </w:rPr>
        <w:t>.</w:t>
      </w:r>
      <w:r w:rsidR="00571620" w:rsidRPr="005125A0">
        <w:rPr>
          <w:sz w:val="22"/>
          <w:szCs w:val="22"/>
        </w:rPr>
        <w:t xml:space="preserve"> </w:t>
      </w:r>
      <w:r w:rsidR="000F6E7C">
        <w:rPr>
          <w:sz w:val="22"/>
          <w:szCs w:val="22"/>
        </w:rPr>
        <w:t xml:space="preserve">The </w:t>
      </w:r>
      <w:r w:rsidR="00346992" w:rsidRPr="005125A0">
        <w:rPr>
          <w:sz w:val="22"/>
          <w:szCs w:val="22"/>
        </w:rPr>
        <w:t xml:space="preserve">potential impact of </w:t>
      </w:r>
      <w:r w:rsidR="00571620" w:rsidRPr="005125A0">
        <w:rPr>
          <w:sz w:val="22"/>
          <w:szCs w:val="22"/>
        </w:rPr>
        <w:t xml:space="preserve">new </w:t>
      </w:r>
      <w:r w:rsidR="00346992" w:rsidRPr="005125A0">
        <w:rPr>
          <w:sz w:val="22"/>
          <w:szCs w:val="22"/>
        </w:rPr>
        <w:t>trade and investment agreements on the future of the NHS</w:t>
      </w:r>
      <w:r w:rsidR="000F6E7C">
        <w:rPr>
          <w:sz w:val="22"/>
          <w:szCs w:val="22"/>
        </w:rPr>
        <w:t xml:space="preserve"> is a major focus for us</w:t>
      </w:r>
      <w:r w:rsidR="00346992" w:rsidRPr="005125A0">
        <w:rPr>
          <w:sz w:val="22"/>
          <w:szCs w:val="22"/>
        </w:rPr>
        <w:t>.</w:t>
      </w:r>
    </w:p>
    <w:p w14:paraId="7A420A98" w14:textId="77777777" w:rsidR="00D35CDC" w:rsidRPr="005125A0" w:rsidRDefault="00D35CDC">
      <w:pPr>
        <w:rPr>
          <w:sz w:val="22"/>
          <w:szCs w:val="22"/>
        </w:rPr>
      </w:pPr>
    </w:p>
    <w:p w14:paraId="529D5E42" w14:textId="4B779938" w:rsidR="00EE1BD6" w:rsidRPr="005125A0" w:rsidRDefault="00EE1BD6" w:rsidP="0095710B">
      <w:pPr>
        <w:pStyle w:val="ListParagraph"/>
        <w:numPr>
          <w:ilvl w:val="0"/>
          <w:numId w:val="5"/>
        </w:numPr>
        <w:rPr>
          <w:sz w:val="22"/>
          <w:szCs w:val="22"/>
        </w:rPr>
      </w:pPr>
      <w:r w:rsidRPr="005125A0">
        <w:rPr>
          <w:sz w:val="22"/>
          <w:szCs w:val="22"/>
        </w:rPr>
        <w:t>We welcome the opportunity to contribute to this Inquiry</w:t>
      </w:r>
      <w:r w:rsidR="000F6E7C">
        <w:rPr>
          <w:sz w:val="22"/>
          <w:szCs w:val="22"/>
        </w:rPr>
        <w:t>: as</w:t>
      </w:r>
      <w:r w:rsidRPr="005125A0">
        <w:rPr>
          <w:sz w:val="22"/>
          <w:szCs w:val="22"/>
        </w:rPr>
        <w:t xml:space="preserve"> the Chair of the In</w:t>
      </w:r>
      <w:r w:rsidR="000F6E7C">
        <w:rPr>
          <w:sz w:val="22"/>
          <w:szCs w:val="22"/>
        </w:rPr>
        <w:t>ternational Trade Committee has said,</w:t>
      </w:r>
      <w:r w:rsidRPr="005125A0">
        <w:rPr>
          <w:sz w:val="22"/>
          <w:szCs w:val="22"/>
        </w:rPr>
        <w:t xml:space="preserve"> “</w:t>
      </w:r>
      <w:r w:rsidRPr="005125A0">
        <w:rPr>
          <w:rFonts w:cs="Verdana"/>
          <w:sz w:val="22"/>
          <w:szCs w:val="22"/>
          <w:lang w:val="en-US"/>
        </w:rPr>
        <w:t xml:space="preserve">With the UK likely to leave the EU in 2019, trade relations between the UK and the EU, as well as the wider world, will have to start afresh”. We note from the Terms of Reference that the Inquiry will </w:t>
      </w:r>
      <w:r w:rsidR="0095710B" w:rsidRPr="005125A0">
        <w:rPr>
          <w:rFonts w:cs="Verdana"/>
          <w:sz w:val="22"/>
          <w:szCs w:val="22"/>
          <w:lang w:val="en-US"/>
        </w:rPr>
        <w:t xml:space="preserve">be looking at </w:t>
      </w:r>
      <w:r w:rsidRPr="005125A0">
        <w:rPr>
          <w:rFonts w:cs="Verdana"/>
          <w:sz w:val="22"/>
          <w:szCs w:val="22"/>
          <w:lang w:val="en-US"/>
        </w:rPr>
        <w:t>opportunities to negotiate new trad</w:t>
      </w:r>
      <w:r w:rsidR="00B04C29" w:rsidRPr="005125A0">
        <w:rPr>
          <w:rFonts w:cs="Verdana"/>
          <w:sz w:val="22"/>
          <w:szCs w:val="22"/>
          <w:lang w:val="en-US"/>
        </w:rPr>
        <w:t>ing arrangements that allow</w:t>
      </w:r>
      <w:r w:rsidRPr="005125A0">
        <w:rPr>
          <w:rFonts w:cs="Verdana"/>
          <w:sz w:val="22"/>
          <w:szCs w:val="22"/>
          <w:lang w:val="en-US"/>
        </w:rPr>
        <w:t xml:space="preserve"> industries success in reaching new markets. Our response urges the Committee additionally to consider ways of ensuring t</w:t>
      </w:r>
      <w:r w:rsidR="00B04C29" w:rsidRPr="005125A0">
        <w:rPr>
          <w:rFonts w:cs="Verdana"/>
          <w:sz w:val="22"/>
          <w:szCs w:val="22"/>
          <w:lang w:val="en-US"/>
        </w:rPr>
        <w:t>hat future trading arrangements</w:t>
      </w:r>
      <w:r w:rsidR="0095710B" w:rsidRPr="005125A0">
        <w:rPr>
          <w:rFonts w:cs="Verdana"/>
          <w:sz w:val="22"/>
          <w:szCs w:val="22"/>
          <w:lang w:val="en-US"/>
        </w:rPr>
        <w:t xml:space="preserve"> are in the public interest. </w:t>
      </w:r>
    </w:p>
    <w:p w14:paraId="7A35D953" w14:textId="77777777" w:rsidR="0095710B" w:rsidRPr="005125A0" w:rsidRDefault="0095710B" w:rsidP="005125A0">
      <w:pPr>
        <w:pStyle w:val="ListParagraph"/>
        <w:ind w:left="360"/>
        <w:rPr>
          <w:sz w:val="22"/>
          <w:szCs w:val="22"/>
        </w:rPr>
      </w:pPr>
    </w:p>
    <w:p w14:paraId="7EDF2CB3" w14:textId="4C5189F4" w:rsidR="004739A3" w:rsidRPr="005125A0" w:rsidRDefault="00EE1BD6" w:rsidP="004739A3">
      <w:pPr>
        <w:pStyle w:val="ListParagraph"/>
        <w:numPr>
          <w:ilvl w:val="0"/>
          <w:numId w:val="5"/>
        </w:numPr>
        <w:rPr>
          <w:sz w:val="22"/>
          <w:szCs w:val="22"/>
        </w:rPr>
      </w:pPr>
      <w:r w:rsidRPr="005125A0">
        <w:rPr>
          <w:rFonts w:cs="Verdana"/>
          <w:sz w:val="22"/>
          <w:szCs w:val="22"/>
          <w:lang w:val="en-US"/>
        </w:rPr>
        <w:t xml:space="preserve"> </w:t>
      </w:r>
      <w:r w:rsidR="004739A3" w:rsidRPr="005125A0">
        <w:rPr>
          <w:sz w:val="22"/>
          <w:szCs w:val="22"/>
        </w:rPr>
        <w:t xml:space="preserve">Our concerns are shaped by what we know of treaties </w:t>
      </w:r>
      <w:r w:rsidR="00346992" w:rsidRPr="005125A0">
        <w:rPr>
          <w:sz w:val="22"/>
          <w:szCs w:val="22"/>
        </w:rPr>
        <w:t>curren</w:t>
      </w:r>
      <w:r w:rsidR="00571620" w:rsidRPr="005125A0">
        <w:rPr>
          <w:sz w:val="22"/>
          <w:szCs w:val="22"/>
        </w:rPr>
        <w:t xml:space="preserve">tly under negotiation (such as the Transatlantic </w:t>
      </w:r>
      <w:r w:rsidR="00346992" w:rsidRPr="005125A0">
        <w:rPr>
          <w:sz w:val="22"/>
          <w:szCs w:val="22"/>
        </w:rPr>
        <w:t>T</w:t>
      </w:r>
      <w:r w:rsidR="00571620" w:rsidRPr="005125A0">
        <w:rPr>
          <w:sz w:val="22"/>
          <w:szCs w:val="22"/>
        </w:rPr>
        <w:t xml:space="preserve">rade and </w:t>
      </w:r>
      <w:r w:rsidR="00346992" w:rsidRPr="005125A0">
        <w:rPr>
          <w:sz w:val="22"/>
          <w:szCs w:val="22"/>
        </w:rPr>
        <w:t>I</w:t>
      </w:r>
      <w:r w:rsidR="00571620" w:rsidRPr="005125A0">
        <w:rPr>
          <w:sz w:val="22"/>
          <w:szCs w:val="22"/>
        </w:rPr>
        <w:t xml:space="preserve">nvestment </w:t>
      </w:r>
      <w:r w:rsidR="00346992" w:rsidRPr="005125A0">
        <w:rPr>
          <w:sz w:val="22"/>
          <w:szCs w:val="22"/>
        </w:rPr>
        <w:t>P</w:t>
      </w:r>
      <w:r w:rsidR="00571620" w:rsidRPr="005125A0">
        <w:rPr>
          <w:sz w:val="22"/>
          <w:szCs w:val="22"/>
        </w:rPr>
        <w:t>artnership or TTIP</w:t>
      </w:r>
      <w:r w:rsidR="00346992" w:rsidRPr="005125A0">
        <w:rPr>
          <w:sz w:val="22"/>
          <w:szCs w:val="22"/>
        </w:rPr>
        <w:t xml:space="preserve">) </w:t>
      </w:r>
      <w:r w:rsidR="00B04C29" w:rsidRPr="005125A0">
        <w:rPr>
          <w:sz w:val="22"/>
          <w:szCs w:val="22"/>
        </w:rPr>
        <w:t xml:space="preserve">or going through </w:t>
      </w:r>
      <w:r w:rsidR="00346992" w:rsidRPr="005125A0">
        <w:rPr>
          <w:sz w:val="22"/>
          <w:szCs w:val="22"/>
        </w:rPr>
        <w:t>the process of ratification (</w:t>
      </w:r>
      <w:r w:rsidR="005125A0">
        <w:rPr>
          <w:sz w:val="22"/>
          <w:szCs w:val="22"/>
        </w:rPr>
        <w:t xml:space="preserve">namely, </w:t>
      </w:r>
      <w:r w:rsidR="00571620" w:rsidRPr="005125A0">
        <w:rPr>
          <w:sz w:val="22"/>
          <w:szCs w:val="22"/>
        </w:rPr>
        <w:t>the</w:t>
      </w:r>
      <w:r w:rsidR="00E83559" w:rsidRPr="005125A0">
        <w:rPr>
          <w:sz w:val="22"/>
          <w:szCs w:val="22"/>
        </w:rPr>
        <w:t xml:space="preserve"> </w:t>
      </w:r>
      <w:r w:rsidR="00346992" w:rsidRPr="005125A0">
        <w:rPr>
          <w:sz w:val="22"/>
          <w:szCs w:val="22"/>
        </w:rPr>
        <w:t>C</w:t>
      </w:r>
      <w:r w:rsidR="00571620" w:rsidRPr="005125A0">
        <w:rPr>
          <w:sz w:val="22"/>
          <w:szCs w:val="22"/>
        </w:rPr>
        <w:t xml:space="preserve">omprehensive </w:t>
      </w:r>
      <w:r w:rsidR="00346992" w:rsidRPr="005125A0">
        <w:rPr>
          <w:sz w:val="22"/>
          <w:szCs w:val="22"/>
        </w:rPr>
        <w:t>E</w:t>
      </w:r>
      <w:r w:rsidR="00571620" w:rsidRPr="005125A0">
        <w:rPr>
          <w:sz w:val="22"/>
          <w:szCs w:val="22"/>
        </w:rPr>
        <w:t xml:space="preserve">conomic and </w:t>
      </w:r>
      <w:r w:rsidR="00346992" w:rsidRPr="005125A0">
        <w:rPr>
          <w:sz w:val="22"/>
          <w:szCs w:val="22"/>
        </w:rPr>
        <w:t>T</w:t>
      </w:r>
      <w:r w:rsidR="00571620" w:rsidRPr="005125A0">
        <w:rPr>
          <w:sz w:val="22"/>
          <w:szCs w:val="22"/>
        </w:rPr>
        <w:t xml:space="preserve">rade </w:t>
      </w:r>
      <w:r w:rsidR="00346992" w:rsidRPr="005125A0">
        <w:rPr>
          <w:sz w:val="22"/>
          <w:szCs w:val="22"/>
        </w:rPr>
        <w:t>A</w:t>
      </w:r>
      <w:r w:rsidR="00571620" w:rsidRPr="005125A0">
        <w:rPr>
          <w:sz w:val="22"/>
          <w:szCs w:val="22"/>
        </w:rPr>
        <w:t>greement or CETA</w:t>
      </w:r>
      <w:r w:rsidR="00346992" w:rsidRPr="005125A0">
        <w:rPr>
          <w:sz w:val="22"/>
          <w:szCs w:val="22"/>
        </w:rPr>
        <w:t>)</w:t>
      </w:r>
      <w:r w:rsidR="004739A3" w:rsidRPr="005125A0">
        <w:rPr>
          <w:sz w:val="22"/>
          <w:szCs w:val="22"/>
        </w:rPr>
        <w:t xml:space="preserve">. Both CETA and TTIP </w:t>
      </w:r>
      <w:r w:rsidR="00971D23" w:rsidRPr="005125A0">
        <w:rPr>
          <w:sz w:val="22"/>
          <w:szCs w:val="22"/>
        </w:rPr>
        <w:t xml:space="preserve">negotiations </w:t>
      </w:r>
      <w:r w:rsidR="004739A3" w:rsidRPr="005125A0">
        <w:rPr>
          <w:sz w:val="22"/>
          <w:szCs w:val="22"/>
        </w:rPr>
        <w:t>have encountered</w:t>
      </w:r>
      <w:r w:rsidR="00346992" w:rsidRPr="005125A0">
        <w:rPr>
          <w:sz w:val="22"/>
          <w:szCs w:val="22"/>
        </w:rPr>
        <w:t xml:space="preserve"> considerable </w:t>
      </w:r>
      <w:r w:rsidR="00F86319" w:rsidRPr="005125A0">
        <w:rPr>
          <w:sz w:val="22"/>
          <w:szCs w:val="22"/>
        </w:rPr>
        <w:t>difficulties and may still fail to be agreed</w:t>
      </w:r>
      <w:r w:rsidR="00971D23" w:rsidRPr="005125A0">
        <w:rPr>
          <w:sz w:val="22"/>
          <w:szCs w:val="22"/>
        </w:rPr>
        <w:t>. One major problem has been the way that</w:t>
      </w:r>
      <w:r w:rsidR="004739A3" w:rsidRPr="005125A0">
        <w:rPr>
          <w:sz w:val="22"/>
          <w:szCs w:val="22"/>
        </w:rPr>
        <w:t xml:space="preserve"> </w:t>
      </w:r>
      <w:r w:rsidR="003E60AB" w:rsidRPr="005125A0">
        <w:rPr>
          <w:sz w:val="22"/>
          <w:szCs w:val="22"/>
        </w:rPr>
        <w:t xml:space="preserve">negotiations have been substantially </w:t>
      </w:r>
      <w:r w:rsidR="001213F4" w:rsidRPr="005125A0">
        <w:rPr>
          <w:sz w:val="22"/>
          <w:szCs w:val="22"/>
        </w:rPr>
        <w:t xml:space="preserve">shaped behind </w:t>
      </w:r>
      <w:r w:rsidR="00F76AF4" w:rsidRPr="005125A0">
        <w:rPr>
          <w:sz w:val="22"/>
          <w:szCs w:val="22"/>
        </w:rPr>
        <w:t xml:space="preserve">closed </w:t>
      </w:r>
      <w:r w:rsidR="001213F4" w:rsidRPr="005125A0">
        <w:rPr>
          <w:sz w:val="22"/>
          <w:szCs w:val="22"/>
        </w:rPr>
        <w:t>doors by corporate lobbyists, while</w:t>
      </w:r>
      <w:r w:rsidR="00C25EE8" w:rsidRPr="005125A0">
        <w:rPr>
          <w:sz w:val="22"/>
          <w:szCs w:val="22"/>
        </w:rPr>
        <w:t xml:space="preserve"> the concerns of the public, their elected representatives and civil society groups have been given scant attention.</w:t>
      </w:r>
      <w:r w:rsidR="003E60AB" w:rsidRPr="005125A0">
        <w:rPr>
          <w:rStyle w:val="FootnoteReference"/>
          <w:sz w:val="22"/>
          <w:szCs w:val="22"/>
        </w:rPr>
        <w:footnoteReference w:id="1"/>
      </w:r>
      <w:r w:rsidR="00C25EE8" w:rsidRPr="005125A0">
        <w:rPr>
          <w:sz w:val="22"/>
          <w:szCs w:val="22"/>
        </w:rPr>
        <w:t xml:space="preserve"> </w:t>
      </w:r>
      <w:r w:rsidR="00B04C29" w:rsidRPr="005125A0">
        <w:rPr>
          <w:sz w:val="22"/>
          <w:szCs w:val="22"/>
        </w:rPr>
        <w:t xml:space="preserve">It has also come to light that </w:t>
      </w:r>
      <w:r w:rsidR="00057BD8" w:rsidRPr="005125A0">
        <w:rPr>
          <w:sz w:val="22"/>
          <w:szCs w:val="22"/>
        </w:rPr>
        <w:t>the UK Parliament’s process for endorsing trade agreements is undemocratic:</w:t>
      </w:r>
      <w:r w:rsidR="00794A63" w:rsidRPr="005125A0">
        <w:rPr>
          <w:sz w:val="22"/>
          <w:szCs w:val="22"/>
        </w:rPr>
        <w:t xml:space="preserve"> c</w:t>
      </w:r>
      <w:r w:rsidR="00B04C29" w:rsidRPr="005125A0">
        <w:rPr>
          <w:sz w:val="22"/>
          <w:szCs w:val="22"/>
        </w:rPr>
        <w:t>ontrary</w:t>
      </w:r>
      <w:r w:rsidR="00794A63" w:rsidRPr="005125A0">
        <w:rPr>
          <w:sz w:val="22"/>
          <w:szCs w:val="22"/>
        </w:rPr>
        <w:t xml:space="preserve"> to assurances</w:t>
      </w:r>
      <w:r w:rsidR="00B04C29" w:rsidRPr="005125A0">
        <w:rPr>
          <w:sz w:val="22"/>
          <w:szCs w:val="22"/>
        </w:rPr>
        <w:t xml:space="preserve">, </w:t>
      </w:r>
      <w:r w:rsidR="00794A63" w:rsidRPr="005125A0">
        <w:rPr>
          <w:sz w:val="22"/>
          <w:szCs w:val="22"/>
        </w:rPr>
        <w:t xml:space="preserve">it has proved difficult to secure meaningful parliamentary debate on CETA and </w:t>
      </w:r>
      <w:r w:rsidR="00704505" w:rsidRPr="005125A0">
        <w:rPr>
          <w:sz w:val="22"/>
          <w:szCs w:val="22"/>
        </w:rPr>
        <w:t xml:space="preserve">there appears to be no </w:t>
      </w:r>
      <w:r w:rsidR="00057BD8" w:rsidRPr="005125A0">
        <w:rPr>
          <w:sz w:val="22"/>
          <w:szCs w:val="22"/>
        </w:rPr>
        <w:t>way for</w:t>
      </w:r>
      <w:r w:rsidR="00704505" w:rsidRPr="005125A0">
        <w:rPr>
          <w:sz w:val="22"/>
          <w:szCs w:val="22"/>
        </w:rPr>
        <w:t xml:space="preserve"> UK </w:t>
      </w:r>
      <w:r w:rsidR="00057BD8" w:rsidRPr="005125A0">
        <w:rPr>
          <w:sz w:val="22"/>
          <w:szCs w:val="22"/>
        </w:rPr>
        <w:t>Members of Parliament to de</w:t>
      </w:r>
      <w:r w:rsidR="000F6E7C">
        <w:rPr>
          <w:sz w:val="22"/>
          <w:szCs w:val="22"/>
        </w:rPr>
        <w:t>cisively</w:t>
      </w:r>
      <w:r w:rsidR="00057BD8" w:rsidRPr="005125A0">
        <w:rPr>
          <w:sz w:val="22"/>
          <w:szCs w:val="22"/>
        </w:rPr>
        <w:t xml:space="preserve"> veto </w:t>
      </w:r>
      <w:r w:rsidR="007B1859" w:rsidRPr="005125A0">
        <w:rPr>
          <w:sz w:val="22"/>
          <w:szCs w:val="22"/>
        </w:rPr>
        <w:t xml:space="preserve">a </w:t>
      </w:r>
      <w:r w:rsidR="00704505" w:rsidRPr="005125A0">
        <w:rPr>
          <w:sz w:val="22"/>
          <w:szCs w:val="22"/>
        </w:rPr>
        <w:t>trade agreement</w:t>
      </w:r>
      <w:r w:rsidR="005125A0">
        <w:rPr>
          <w:sz w:val="22"/>
          <w:szCs w:val="22"/>
        </w:rPr>
        <w:t>,</w:t>
      </w:r>
      <w:r w:rsidR="00794A63" w:rsidRPr="005125A0">
        <w:rPr>
          <w:sz w:val="22"/>
          <w:szCs w:val="22"/>
        </w:rPr>
        <w:t xml:space="preserve"> should they wish to</w:t>
      </w:r>
      <w:r w:rsidR="00704505" w:rsidRPr="005125A0">
        <w:rPr>
          <w:sz w:val="22"/>
          <w:szCs w:val="22"/>
        </w:rPr>
        <w:t>.</w:t>
      </w:r>
      <w:r w:rsidR="007B1859" w:rsidRPr="005125A0">
        <w:rPr>
          <w:rStyle w:val="FootnoteReference"/>
          <w:sz w:val="22"/>
          <w:szCs w:val="22"/>
        </w:rPr>
        <w:footnoteReference w:id="2"/>
      </w:r>
    </w:p>
    <w:p w14:paraId="52C2D06D" w14:textId="77777777" w:rsidR="004402C4" w:rsidRPr="005125A0" w:rsidRDefault="004402C4" w:rsidP="004402C4">
      <w:pPr>
        <w:rPr>
          <w:sz w:val="22"/>
          <w:szCs w:val="22"/>
        </w:rPr>
      </w:pPr>
    </w:p>
    <w:p w14:paraId="16C2DA1D" w14:textId="56F4D487" w:rsidR="00C25EE8" w:rsidRPr="005125A0" w:rsidRDefault="003E60AB" w:rsidP="004739A3">
      <w:pPr>
        <w:ind w:left="360"/>
        <w:rPr>
          <w:b/>
          <w:sz w:val="22"/>
          <w:szCs w:val="22"/>
        </w:rPr>
      </w:pPr>
      <w:r w:rsidRPr="005125A0">
        <w:rPr>
          <w:b/>
          <w:sz w:val="22"/>
          <w:szCs w:val="22"/>
        </w:rPr>
        <w:t xml:space="preserve">We believe </w:t>
      </w:r>
      <w:r w:rsidR="001213F4" w:rsidRPr="005125A0">
        <w:rPr>
          <w:b/>
          <w:sz w:val="22"/>
          <w:szCs w:val="22"/>
        </w:rPr>
        <w:t xml:space="preserve">that </w:t>
      </w:r>
      <w:r w:rsidRPr="005125A0">
        <w:rPr>
          <w:b/>
          <w:sz w:val="22"/>
          <w:szCs w:val="22"/>
        </w:rPr>
        <w:t xml:space="preserve">new UK trade </w:t>
      </w:r>
      <w:r w:rsidR="001213F4" w:rsidRPr="005125A0">
        <w:rPr>
          <w:b/>
          <w:sz w:val="22"/>
          <w:szCs w:val="22"/>
        </w:rPr>
        <w:t>negotiations</w:t>
      </w:r>
      <w:r w:rsidR="005D6AA9" w:rsidRPr="005125A0">
        <w:rPr>
          <w:b/>
          <w:sz w:val="22"/>
          <w:szCs w:val="22"/>
        </w:rPr>
        <w:t>,</w:t>
      </w:r>
      <w:r w:rsidR="001213F4" w:rsidRPr="005125A0">
        <w:rPr>
          <w:b/>
          <w:sz w:val="22"/>
          <w:szCs w:val="22"/>
        </w:rPr>
        <w:t xml:space="preserve"> </w:t>
      </w:r>
      <w:r w:rsidR="005D6AA9" w:rsidRPr="005125A0">
        <w:rPr>
          <w:b/>
          <w:sz w:val="22"/>
          <w:szCs w:val="22"/>
        </w:rPr>
        <w:t xml:space="preserve">to be successful as well as fair, </w:t>
      </w:r>
      <w:r w:rsidR="00F76AF4" w:rsidRPr="005125A0">
        <w:rPr>
          <w:b/>
          <w:sz w:val="22"/>
          <w:szCs w:val="22"/>
        </w:rPr>
        <w:t xml:space="preserve">should be </w:t>
      </w:r>
      <w:r w:rsidRPr="005125A0">
        <w:rPr>
          <w:b/>
          <w:sz w:val="22"/>
          <w:szCs w:val="22"/>
        </w:rPr>
        <w:t xml:space="preserve">based on transparency and </w:t>
      </w:r>
      <w:r w:rsidR="004739A3" w:rsidRPr="005125A0">
        <w:rPr>
          <w:b/>
          <w:sz w:val="22"/>
          <w:szCs w:val="22"/>
        </w:rPr>
        <w:t>meaningful public engagement</w:t>
      </w:r>
      <w:r w:rsidRPr="005125A0">
        <w:rPr>
          <w:b/>
          <w:sz w:val="22"/>
          <w:szCs w:val="22"/>
        </w:rPr>
        <w:t xml:space="preserve">. </w:t>
      </w:r>
      <w:r w:rsidR="00057BD8" w:rsidRPr="005125A0">
        <w:rPr>
          <w:b/>
          <w:sz w:val="22"/>
          <w:szCs w:val="22"/>
        </w:rPr>
        <w:t>They should also be made subject to parliamentary scrutiny, in a democratic process that allows a trade agreement to be decisively vetoed.</w:t>
      </w:r>
    </w:p>
    <w:p w14:paraId="4C364F52" w14:textId="77777777" w:rsidR="00C25EE8" w:rsidRPr="005125A0" w:rsidRDefault="00C25EE8">
      <w:pPr>
        <w:rPr>
          <w:sz w:val="22"/>
          <w:szCs w:val="22"/>
        </w:rPr>
      </w:pPr>
    </w:p>
    <w:p w14:paraId="5A8DCCE3" w14:textId="77777777" w:rsidR="004C1707" w:rsidRPr="005125A0" w:rsidRDefault="00556B09">
      <w:pPr>
        <w:rPr>
          <w:sz w:val="22"/>
          <w:szCs w:val="22"/>
        </w:rPr>
      </w:pPr>
      <w:r w:rsidRPr="005125A0">
        <w:rPr>
          <w:sz w:val="22"/>
          <w:szCs w:val="22"/>
        </w:rPr>
        <w:t>3. Public opposition to CETA and TTIP ar</w:t>
      </w:r>
      <w:r w:rsidR="00C25EE8" w:rsidRPr="005125A0">
        <w:rPr>
          <w:sz w:val="22"/>
          <w:szCs w:val="22"/>
        </w:rPr>
        <w:t>ose</w:t>
      </w:r>
      <w:r w:rsidRPr="005125A0">
        <w:rPr>
          <w:sz w:val="22"/>
          <w:szCs w:val="22"/>
        </w:rPr>
        <w:t xml:space="preserve"> from a </w:t>
      </w:r>
      <w:r w:rsidR="00971D23" w:rsidRPr="005125A0">
        <w:rPr>
          <w:sz w:val="22"/>
          <w:szCs w:val="22"/>
        </w:rPr>
        <w:t xml:space="preserve">range </w:t>
      </w:r>
      <w:r w:rsidRPr="005125A0">
        <w:rPr>
          <w:sz w:val="22"/>
          <w:szCs w:val="22"/>
        </w:rPr>
        <w:t xml:space="preserve">of concerns, including </w:t>
      </w:r>
    </w:p>
    <w:p w14:paraId="0CFA00FA" w14:textId="049B30A6" w:rsidR="004C1707" w:rsidRPr="005125A0" w:rsidRDefault="004C1707" w:rsidP="004C1707">
      <w:pPr>
        <w:pStyle w:val="ListParagraph"/>
        <w:numPr>
          <w:ilvl w:val="0"/>
          <w:numId w:val="1"/>
        </w:numPr>
        <w:rPr>
          <w:sz w:val="22"/>
          <w:szCs w:val="22"/>
        </w:rPr>
      </w:pPr>
      <w:r w:rsidRPr="005125A0">
        <w:rPr>
          <w:sz w:val="22"/>
          <w:szCs w:val="22"/>
        </w:rPr>
        <w:t>the exte</w:t>
      </w:r>
      <w:r w:rsidR="00971D23" w:rsidRPr="005125A0">
        <w:rPr>
          <w:sz w:val="22"/>
          <w:szCs w:val="22"/>
        </w:rPr>
        <w:t xml:space="preserve">nsive powers </w:t>
      </w:r>
      <w:r w:rsidR="00715D87" w:rsidRPr="005125A0">
        <w:rPr>
          <w:sz w:val="22"/>
          <w:szCs w:val="22"/>
        </w:rPr>
        <w:t xml:space="preserve">that </w:t>
      </w:r>
      <w:r w:rsidR="00971D23" w:rsidRPr="005125A0">
        <w:rPr>
          <w:sz w:val="22"/>
          <w:szCs w:val="22"/>
        </w:rPr>
        <w:t>these treaties would give</w:t>
      </w:r>
      <w:r w:rsidRPr="005125A0">
        <w:rPr>
          <w:sz w:val="22"/>
          <w:szCs w:val="22"/>
        </w:rPr>
        <w:t xml:space="preserve"> to multinational corporations</w:t>
      </w:r>
      <w:r w:rsidR="004F564F">
        <w:rPr>
          <w:sz w:val="22"/>
          <w:szCs w:val="22"/>
        </w:rPr>
        <w:t xml:space="preserve"> while negatively affecting public services such as the NHS</w:t>
      </w:r>
      <w:r w:rsidRPr="005125A0">
        <w:rPr>
          <w:sz w:val="22"/>
          <w:szCs w:val="22"/>
        </w:rPr>
        <w:t xml:space="preserve"> through </w:t>
      </w:r>
    </w:p>
    <w:p w14:paraId="6E04287F" w14:textId="6F263506" w:rsidR="004C1707" w:rsidRPr="005125A0" w:rsidRDefault="004C1707" w:rsidP="004C1707">
      <w:pPr>
        <w:pStyle w:val="ListParagraph"/>
        <w:numPr>
          <w:ilvl w:val="1"/>
          <w:numId w:val="1"/>
        </w:numPr>
        <w:rPr>
          <w:sz w:val="22"/>
          <w:szCs w:val="22"/>
        </w:rPr>
      </w:pPr>
      <w:proofErr w:type="gramStart"/>
      <w:r w:rsidRPr="005125A0">
        <w:rPr>
          <w:sz w:val="22"/>
          <w:szCs w:val="22"/>
        </w:rPr>
        <w:t>the</w:t>
      </w:r>
      <w:proofErr w:type="gramEnd"/>
      <w:r w:rsidRPr="005125A0">
        <w:rPr>
          <w:sz w:val="22"/>
          <w:szCs w:val="22"/>
        </w:rPr>
        <w:t xml:space="preserve"> inclusion of an investment protection measure</w:t>
      </w:r>
      <w:r w:rsidR="000F6E7C">
        <w:rPr>
          <w:sz w:val="22"/>
          <w:szCs w:val="22"/>
        </w:rPr>
        <w:t>,</w:t>
      </w:r>
      <w:r w:rsidRPr="005125A0">
        <w:rPr>
          <w:sz w:val="22"/>
          <w:szCs w:val="22"/>
        </w:rPr>
        <w:t xml:space="preserve"> such as </w:t>
      </w:r>
      <w:r w:rsidR="00971D23" w:rsidRPr="005125A0">
        <w:rPr>
          <w:sz w:val="22"/>
          <w:szCs w:val="22"/>
        </w:rPr>
        <w:t>Investment Court System (</w:t>
      </w:r>
      <w:r w:rsidRPr="005125A0">
        <w:rPr>
          <w:sz w:val="22"/>
          <w:szCs w:val="22"/>
        </w:rPr>
        <w:t>ICS</w:t>
      </w:r>
      <w:r w:rsidR="00971D23" w:rsidRPr="005125A0">
        <w:rPr>
          <w:sz w:val="22"/>
          <w:szCs w:val="22"/>
        </w:rPr>
        <w:t>)</w:t>
      </w:r>
      <w:r w:rsidR="005125A0">
        <w:rPr>
          <w:sz w:val="22"/>
          <w:szCs w:val="22"/>
        </w:rPr>
        <w:t xml:space="preserve">, </w:t>
      </w:r>
      <w:r w:rsidRPr="005125A0">
        <w:rPr>
          <w:sz w:val="22"/>
          <w:szCs w:val="22"/>
        </w:rPr>
        <w:t xml:space="preserve">despite the fact that parties to these agreements have </w:t>
      </w:r>
      <w:r w:rsidR="004739A3" w:rsidRPr="005125A0">
        <w:rPr>
          <w:sz w:val="22"/>
          <w:szCs w:val="22"/>
        </w:rPr>
        <w:t xml:space="preserve">domestic courts </w:t>
      </w:r>
      <w:r w:rsidRPr="005125A0">
        <w:rPr>
          <w:sz w:val="22"/>
          <w:szCs w:val="22"/>
        </w:rPr>
        <w:t xml:space="preserve">that are </w:t>
      </w:r>
      <w:r w:rsidR="004739A3" w:rsidRPr="005125A0">
        <w:rPr>
          <w:sz w:val="22"/>
          <w:szCs w:val="22"/>
        </w:rPr>
        <w:t xml:space="preserve">fully able </w:t>
      </w:r>
      <w:r w:rsidRPr="005125A0">
        <w:rPr>
          <w:sz w:val="22"/>
          <w:szCs w:val="22"/>
        </w:rPr>
        <w:t>to protect the rights of investors</w:t>
      </w:r>
      <w:r w:rsidR="005125A0">
        <w:rPr>
          <w:sz w:val="22"/>
          <w:szCs w:val="22"/>
        </w:rPr>
        <w:t>;</w:t>
      </w:r>
      <w:r w:rsidR="004F564F">
        <w:rPr>
          <w:sz w:val="22"/>
          <w:szCs w:val="22"/>
        </w:rPr>
        <w:t xml:space="preserve"> and</w:t>
      </w:r>
    </w:p>
    <w:p w14:paraId="30927A63" w14:textId="50A5F2D9" w:rsidR="004C1707" w:rsidRPr="005125A0" w:rsidRDefault="004C1707" w:rsidP="004C1707">
      <w:pPr>
        <w:pStyle w:val="ListParagraph"/>
        <w:numPr>
          <w:ilvl w:val="1"/>
          <w:numId w:val="1"/>
        </w:numPr>
        <w:rPr>
          <w:sz w:val="22"/>
          <w:szCs w:val="22"/>
        </w:rPr>
      </w:pPr>
      <w:r w:rsidRPr="005125A0">
        <w:rPr>
          <w:sz w:val="22"/>
          <w:szCs w:val="22"/>
        </w:rPr>
        <w:t>the potential for corporations to influence future g</w:t>
      </w:r>
      <w:r w:rsidR="00971D23" w:rsidRPr="005125A0">
        <w:rPr>
          <w:sz w:val="22"/>
          <w:szCs w:val="22"/>
        </w:rPr>
        <w:t xml:space="preserve">overnment legislation through ‘regulatory co-operation’, </w:t>
      </w:r>
      <w:r w:rsidR="009430EC" w:rsidRPr="005125A0">
        <w:rPr>
          <w:sz w:val="22"/>
          <w:szCs w:val="22"/>
        </w:rPr>
        <w:t>privileging trade interests over others</w:t>
      </w:r>
      <w:r w:rsidR="004F564F">
        <w:rPr>
          <w:sz w:val="22"/>
          <w:szCs w:val="22"/>
        </w:rPr>
        <w:t>,</w:t>
      </w:r>
      <w:r w:rsidR="009430EC" w:rsidRPr="005125A0">
        <w:rPr>
          <w:sz w:val="22"/>
          <w:szCs w:val="22"/>
        </w:rPr>
        <w:t xml:space="preserve"> </w:t>
      </w:r>
      <w:r w:rsidR="009430EC" w:rsidRPr="005125A0">
        <w:rPr>
          <w:sz w:val="22"/>
          <w:szCs w:val="22"/>
        </w:rPr>
        <w:lastRenderedPageBreak/>
        <w:t>such as environmental or consumer interests</w:t>
      </w:r>
      <w:r w:rsidR="00715D87" w:rsidRPr="005125A0">
        <w:rPr>
          <w:sz w:val="22"/>
          <w:szCs w:val="22"/>
        </w:rPr>
        <w:t>,</w:t>
      </w:r>
      <w:r w:rsidR="009430EC" w:rsidRPr="005125A0">
        <w:rPr>
          <w:sz w:val="22"/>
          <w:szCs w:val="22"/>
        </w:rPr>
        <w:t xml:space="preserve"> as well as potentially by-passing parliamentary processes.</w:t>
      </w:r>
      <w:r w:rsidR="00971D23" w:rsidRPr="005125A0">
        <w:rPr>
          <w:rStyle w:val="FootnoteReference"/>
          <w:sz w:val="22"/>
          <w:szCs w:val="22"/>
        </w:rPr>
        <w:footnoteReference w:id="3"/>
      </w:r>
      <w:r w:rsidR="00971D23" w:rsidRPr="005125A0">
        <w:rPr>
          <w:sz w:val="22"/>
          <w:szCs w:val="22"/>
        </w:rPr>
        <w:t xml:space="preserve"> </w:t>
      </w:r>
    </w:p>
    <w:p w14:paraId="7E6DF151" w14:textId="77777777" w:rsidR="004C1707" w:rsidRPr="005125A0" w:rsidRDefault="004C1707" w:rsidP="004C1707">
      <w:pPr>
        <w:pStyle w:val="ListParagraph"/>
        <w:numPr>
          <w:ilvl w:val="0"/>
          <w:numId w:val="1"/>
        </w:numPr>
        <w:rPr>
          <w:sz w:val="22"/>
          <w:szCs w:val="22"/>
        </w:rPr>
      </w:pPr>
      <w:r w:rsidRPr="005125A0">
        <w:rPr>
          <w:sz w:val="22"/>
          <w:szCs w:val="22"/>
        </w:rPr>
        <w:t xml:space="preserve"> the meagre benefits to small and medium sized businesses, and the general public: for example, </w:t>
      </w:r>
      <w:r w:rsidRPr="005125A0">
        <w:rPr>
          <w:rFonts w:cs="Georgia"/>
          <w:color w:val="262626"/>
          <w:sz w:val="22"/>
          <w:szCs w:val="22"/>
          <w:lang w:val="en-US"/>
        </w:rPr>
        <w:t xml:space="preserve">official predictions suggest CETA will encourage little more than 0.01% growth of the EU’s GDP, while independent research indicates </w:t>
      </w:r>
      <w:r w:rsidR="00556B09" w:rsidRPr="005125A0">
        <w:rPr>
          <w:rFonts w:cs="Georgia"/>
          <w:color w:val="262626"/>
          <w:sz w:val="22"/>
          <w:szCs w:val="22"/>
          <w:lang w:val="en-US"/>
        </w:rPr>
        <w:t xml:space="preserve">that </w:t>
      </w:r>
      <w:r w:rsidRPr="005125A0">
        <w:rPr>
          <w:rFonts w:cs="Georgia"/>
          <w:color w:val="262626"/>
          <w:sz w:val="22"/>
          <w:szCs w:val="22"/>
          <w:lang w:val="en-US"/>
        </w:rPr>
        <w:t>the treaty will bring job losses, wage compression and loss of government revenue.</w:t>
      </w:r>
      <w:r w:rsidRPr="005125A0">
        <w:rPr>
          <w:rStyle w:val="FootnoteReference"/>
          <w:rFonts w:cs="Georgia"/>
          <w:color w:val="262626"/>
          <w:sz w:val="22"/>
          <w:szCs w:val="22"/>
          <w:lang w:val="en-US"/>
        </w:rPr>
        <w:footnoteReference w:id="4"/>
      </w:r>
    </w:p>
    <w:p w14:paraId="6BB80DD1" w14:textId="270E6786" w:rsidR="004402C4" w:rsidRPr="005125A0" w:rsidRDefault="004C1707" w:rsidP="005125A0">
      <w:pPr>
        <w:pStyle w:val="NormalWeb"/>
        <w:numPr>
          <w:ilvl w:val="0"/>
          <w:numId w:val="1"/>
        </w:numPr>
        <w:rPr>
          <w:rFonts w:asciiTheme="minorHAnsi" w:hAnsiTheme="minorHAnsi"/>
          <w:sz w:val="22"/>
          <w:szCs w:val="22"/>
        </w:rPr>
      </w:pPr>
      <w:r w:rsidRPr="005125A0">
        <w:rPr>
          <w:rFonts w:asciiTheme="minorHAnsi" w:hAnsiTheme="minorHAnsi"/>
          <w:sz w:val="22"/>
          <w:szCs w:val="22"/>
        </w:rPr>
        <w:t xml:space="preserve">the ‘dumbing down’ of standards (eg </w:t>
      </w:r>
      <w:r w:rsidR="009430EC" w:rsidRPr="005125A0">
        <w:rPr>
          <w:rFonts w:asciiTheme="minorHAnsi" w:hAnsiTheme="minorHAnsi"/>
          <w:sz w:val="22"/>
          <w:szCs w:val="22"/>
        </w:rPr>
        <w:t>labour rights, regulations on toxic chemicals, food safety rules, digital priv</w:t>
      </w:r>
      <w:r w:rsidR="005D6AA9" w:rsidRPr="005125A0">
        <w:rPr>
          <w:rFonts w:asciiTheme="minorHAnsi" w:hAnsiTheme="minorHAnsi"/>
          <w:sz w:val="22"/>
          <w:szCs w:val="22"/>
        </w:rPr>
        <w:t>acy laws and banking safeguards</w:t>
      </w:r>
      <w:r w:rsidR="009430EC" w:rsidRPr="005125A0">
        <w:rPr>
          <w:rFonts w:asciiTheme="minorHAnsi" w:hAnsiTheme="minorHAnsi"/>
          <w:sz w:val="22"/>
          <w:szCs w:val="22"/>
        </w:rPr>
        <w:t>)</w:t>
      </w:r>
      <w:r w:rsidR="005D6AA9" w:rsidRPr="005125A0">
        <w:rPr>
          <w:rFonts w:asciiTheme="minorHAnsi" w:hAnsiTheme="minorHAnsi"/>
          <w:sz w:val="22"/>
          <w:szCs w:val="22"/>
        </w:rPr>
        <w:t xml:space="preserve"> </w:t>
      </w:r>
      <w:r w:rsidRPr="005125A0">
        <w:rPr>
          <w:rFonts w:asciiTheme="minorHAnsi" w:hAnsiTheme="minorHAnsi"/>
          <w:sz w:val="22"/>
          <w:szCs w:val="22"/>
        </w:rPr>
        <w:t>and the potential loss of the precautionary principle</w:t>
      </w:r>
      <w:r w:rsidR="009430EC" w:rsidRPr="005125A0">
        <w:rPr>
          <w:rFonts w:asciiTheme="minorHAnsi" w:hAnsiTheme="minorHAnsi"/>
          <w:sz w:val="22"/>
          <w:szCs w:val="22"/>
        </w:rPr>
        <w:t xml:space="preserve"> as the basis for determining</w:t>
      </w:r>
      <w:r w:rsidR="00556B09" w:rsidRPr="005125A0">
        <w:rPr>
          <w:rFonts w:asciiTheme="minorHAnsi" w:hAnsiTheme="minorHAnsi"/>
          <w:sz w:val="22"/>
          <w:szCs w:val="22"/>
        </w:rPr>
        <w:t xml:space="preserve"> safety</w:t>
      </w:r>
      <w:r w:rsidR="004402C4" w:rsidRPr="005125A0">
        <w:rPr>
          <w:rFonts w:asciiTheme="minorHAnsi" w:hAnsiTheme="minorHAnsi"/>
          <w:sz w:val="22"/>
          <w:szCs w:val="22"/>
        </w:rPr>
        <w:t>.</w:t>
      </w:r>
    </w:p>
    <w:p w14:paraId="0EF707C2" w14:textId="77777777" w:rsidR="00BF16DC" w:rsidRPr="005125A0" w:rsidRDefault="00F76AF4" w:rsidP="00BF16DC">
      <w:pPr>
        <w:ind w:left="360"/>
        <w:rPr>
          <w:b/>
          <w:sz w:val="22"/>
          <w:szCs w:val="22"/>
        </w:rPr>
      </w:pPr>
      <w:r w:rsidRPr="005125A0">
        <w:rPr>
          <w:b/>
          <w:sz w:val="22"/>
          <w:szCs w:val="22"/>
        </w:rPr>
        <w:t>We believe</w:t>
      </w:r>
      <w:r w:rsidR="001213F4" w:rsidRPr="005125A0">
        <w:rPr>
          <w:b/>
          <w:sz w:val="22"/>
          <w:szCs w:val="22"/>
        </w:rPr>
        <w:t xml:space="preserve"> that </w:t>
      </w:r>
      <w:r w:rsidR="004739A3" w:rsidRPr="005125A0">
        <w:rPr>
          <w:b/>
          <w:sz w:val="22"/>
          <w:szCs w:val="22"/>
        </w:rPr>
        <w:t xml:space="preserve">new trade deals should not include investment protection measures such as ICS where </w:t>
      </w:r>
      <w:r w:rsidR="00BF16DC" w:rsidRPr="005125A0">
        <w:rPr>
          <w:b/>
          <w:sz w:val="22"/>
          <w:szCs w:val="22"/>
        </w:rPr>
        <w:t xml:space="preserve">the </w:t>
      </w:r>
      <w:r w:rsidR="004739A3" w:rsidRPr="005125A0">
        <w:rPr>
          <w:b/>
          <w:sz w:val="22"/>
          <w:szCs w:val="22"/>
        </w:rPr>
        <w:t>parties involved have mature judicial systems</w:t>
      </w:r>
      <w:r w:rsidR="004739A3" w:rsidRPr="005125A0">
        <w:rPr>
          <w:sz w:val="22"/>
          <w:szCs w:val="22"/>
        </w:rPr>
        <w:t xml:space="preserve">. </w:t>
      </w:r>
      <w:r w:rsidR="00BF16DC" w:rsidRPr="005125A0">
        <w:rPr>
          <w:b/>
          <w:sz w:val="22"/>
          <w:szCs w:val="22"/>
        </w:rPr>
        <w:t xml:space="preserve">The UK government should retain the ability to regulate in the interests of its people, free from corporate influence. Growth of GDP should not be at the expense of jobs or hard won </w:t>
      </w:r>
      <w:r w:rsidR="009430EC" w:rsidRPr="005125A0">
        <w:rPr>
          <w:b/>
          <w:sz w:val="22"/>
          <w:szCs w:val="22"/>
        </w:rPr>
        <w:t xml:space="preserve">protections such as </w:t>
      </w:r>
      <w:r w:rsidR="00BF16DC" w:rsidRPr="005125A0">
        <w:rPr>
          <w:b/>
          <w:sz w:val="22"/>
          <w:szCs w:val="22"/>
        </w:rPr>
        <w:t xml:space="preserve">labour rights. The precautionary principle should </w:t>
      </w:r>
      <w:r w:rsidR="009430EC" w:rsidRPr="005125A0">
        <w:rPr>
          <w:b/>
          <w:sz w:val="22"/>
          <w:szCs w:val="22"/>
        </w:rPr>
        <w:t xml:space="preserve">remain the measure </w:t>
      </w:r>
      <w:r w:rsidR="00BF16DC" w:rsidRPr="005125A0">
        <w:rPr>
          <w:b/>
          <w:sz w:val="22"/>
          <w:szCs w:val="22"/>
        </w:rPr>
        <w:t>for ensuring public health and safety.</w:t>
      </w:r>
    </w:p>
    <w:p w14:paraId="35F168A1" w14:textId="77777777" w:rsidR="006B1077" w:rsidRPr="005125A0" w:rsidRDefault="006B1077" w:rsidP="006B1077">
      <w:pPr>
        <w:rPr>
          <w:sz w:val="22"/>
          <w:szCs w:val="22"/>
        </w:rPr>
      </w:pPr>
    </w:p>
    <w:p w14:paraId="0947C973" w14:textId="77777777" w:rsidR="00A6731E" w:rsidRPr="005125A0" w:rsidRDefault="00C532A9" w:rsidP="00A6731E">
      <w:pPr>
        <w:rPr>
          <w:sz w:val="22"/>
          <w:szCs w:val="22"/>
        </w:rPr>
      </w:pPr>
      <w:r w:rsidRPr="005125A0">
        <w:rPr>
          <w:sz w:val="22"/>
          <w:szCs w:val="22"/>
        </w:rPr>
        <w:t xml:space="preserve">4. </w:t>
      </w:r>
      <w:r w:rsidR="00A6731E" w:rsidRPr="005125A0">
        <w:rPr>
          <w:sz w:val="22"/>
          <w:szCs w:val="22"/>
        </w:rPr>
        <w:t xml:space="preserve">A major concern about CETA and TTIP has been </w:t>
      </w:r>
      <w:r w:rsidR="000A4B0B" w:rsidRPr="005125A0">
        <w:rPr>
          <w:sz w:val="22"/>
          <w:szCs w:val="22"/>
        </w:rPr>
        <w:t xml:space="preserve">the risks that they pose </w:t>
      </w:r>
      <w:r w:rsidR="00A6731E" w:rsidRPr="005125A0">
        <w:rPr>
          <w:sz w:val="22"/>
          <w:szCs w:val="22"/>
        </w:rPr>
        <w:t>for the future of public services, not least the NHS</w:t>
      </w:r>
      <w:r w:rsidR="000A4B0B" w:rsidRPr="005125A0">
        <w:rPr>
          <w:sz w:val="22"/>
          <w:szCs w:val="22"/>
        </w:rPr>
        <w:t xml:space="preserve"> – the NHS became a major focus for public opposition to these treaties</w:t>
      </w:r>
      <w:r w:rsidR="00A6731E" w:rsidRPr="005125A0">
        <w:rPr>
          <w:sz w:val="22"/>
          <w:szCs w:val="22"/>
        </w:rPr>
        <w:t xml:space="preserve">. </w:t>
      </w:r>
    </w:p>
    <w:p w14:paraId="2207F5E7" w14:textId="20D6FEC4" w:rsidR="0007029B" w:rsidRPr="005125A0" w:rsidRDefault="004402C4" w:rsidP="00CF0E3A">
      <w:pPr>
        <w:widowControl w:val="0"/>
        <w:autoSpaceDE w:val="0"/>
        <w:autoSpaceDN w:val="0"/>
        <w:adjustRightInd w:val="0"/>
        <w:rPr>
          <w:rFonts w:cs="Georgia"/>
          <w:color w:val="343434"/>
          <w:sz w:val="22"/>
          <w:szCs w:val="22"/>
          <w:lang w:val="en-US"/>
        </w:rPr>
      </w:pPr>
      <w:r w:rsidRPr="005125A0">
        <w:rPr>
          <w:rFonts w:cs="Georgia"/>
          <w:color w:val="262626"/>
          <w:sz w:val="22"/>
          <w:szCs w:val="22"/>
          <w:lang w:val="en-US"/>
        </w:rPr>
        <w:t>These risks include</w:t>
      </w:r>
      <w:r w:rsidR="00E83559" w:rsidRPr="005125A0">
        <w:rPr>
          <w:rFonts w:cs="Georgia"/>
          <w:color w:val="262626"/>
          <w:sz w:val="22"/>
          <w:szCs w:val="22"/>
          <w:lang w:val="en-US"/>
        </w:rPr>
        <w:t xml:space="preserve">: </w:t>
      </w:r>
      <w:r w:rsidR="003B578A" w:rsidRPr="005125A0">
        <w:rPr>
          <w:rFonts w:cs="Georgia"/>
          <w:color w:val="262626"/>
          <w:sz w:val="22"/>
          <w:szCs w:val="22"/>
          <w:lang w:val="en-US"/>
        </w:rPr>
        <w:t xml:space="preserve">the </w:t>
      </w:r>
      <w:r w:rsidRPr="005125A0">
        <w:rPr>
          <w:rFonts w:cs="Georgia"/>
          <w:color w:val="262626"/>
          <w:sz w:val="22"/>
          <w:szCs w:val="22"/>
          <w:lang w:val="en-US"/>
        </w:rPr>
        <w:t xml:space="preserve">access </w:t>
      </w:r>
      <w:r w:rsidR="003B578A" w:rsidRPr="005125A0">
        <w:rPr>
          <w:rFonts w:cs="Georgia"/>
          <w:color w:val="262626"/>
          <w:sz w:val="22"/>
          <w:szCs w:val="22"/>
          <w:lang w:val="en-US"/>
        </w:rPr>
        <w:t xml:space="preserve">that </w:t>
      </w:r>
      <w:r w:rsidR="00CF0E3A" w:rsidRPr="005125A0">
        <w:rPr>
          <w:rFonts w:cs="Georgia"/>
          <w:color w:val="262626"/>
          <w:sz w:val="22"/>
          <w:szCs w:val="22"/>
          <w:lang w:val="en-US"/>
        </w:rPr>
        <w:t xml:space="preserve">CETA and TTIP </w:t>
      </w:r>
      <w:r w:rsidR="00715D87" w:rsidRPr="005125A0">
        <w:rPr>
          <w:rFonts w:cs="Georgia"/>
          <w:color w:val="262626"/>
          <w:sz w:val="22"/>
          <w:szCs w:val="22"/>
          <w:lang w:val="en-US"/>
        </w:rPr>
        <w:t xml:space="preserve">would </w:t>
      </w:r>
      <w:r w:rsidR="00CF0E3A" w:rsidRPr="005125A0">
        <w:rPr>
          <w:rFonts w:cs="Georgia"/>
          <w:color w:val="262626"/>
          <w:sz w:val="22"/>
          <w:szCs w:val="22"/>
          <w:lang w:val="en-US"/>
        </w:rPr>
        <w:t xml:space="preserve">give to </w:t>
      </w:r>
      <w:r w:rsidR="003B578A" w:rsidRPr="005125A0">
        <w:rPr>
          <w:rFonts w:cs="Georgia"/>
          <w:color w:val="262626"/>
          <w:sz w:val="22"/>
          <w:szCs w:val="22"/>
          <w:lang w:val="en-US"/>
        </w:rPr>
        <w:t>multinational corporations to procure</w:t>
      </w:r>
      <w:r w:rsidR="00CF0E3A" w:rsidRPr="005125A0">
        <w:rPr>
          <w:rFonts w:cs="Georgia"/>
          <w:color w:val="262626"/>
          <w:sz w:val="22"/>
          <w:szCs w:val="22"/>
          <w:lang w:val="en-US"/>
        </w:rPr>
        <w:t xml:space="preserve"> goods and services on behalf of the </w:t>
      </w:r>
      <w:r w:rsidR="00715D87" w:rsidRPr="005125A0">
        <w:rPr>
          <w:rFonts w:cs="Georgia"/>
          <w:color w:val="262626"/>
          <w:sz w:val="22"/>
          <w:szCs w:val="22"/>
          <w:lang w:val="en-US"/>
        </w:rPr>
        <w:t xml:space="preserve">UK </w:t>
      </w:r>
      <w:r w:rsidR="004F564F">
        <w:rPr>
          <w:rFonts w:cs="Georgia"/>
          <w:color w:val="262626"/>
          <w:sz w:val="22"/>
          <w:szCs w:val="22"/>
          <w:lang w:val="en-US"/>
        </w:rPr>
        <w:t>government</w:t>
      </w:r>
      <w:r w:rsidR="00E83559" w:rsidRPr="005125A0">
        <w:rPr>
          <w:rFonts w:cs="Georgia"/>
          <w:color w:val="262626"/>
          <w:sz w:val="22"/>
          <w:szCs w:val="22"/>
          <w:lang w:val="en-US"/>
        </w:rPr>
        <w:t xml:space="preserve">. This </w:t>
      </w:r>
      <w:r w:rsidR="00CF0E3A" w:rsidRPr="005125A0">
        <w:rPr>
          <w:rFonts w:cs="Georgia"/>
          <w:color w:val="262626"/>
          <w:sz w:val="22"/>
          <w:szCs w:val="22"/>
          <w:lang w:val="en-US"/>
        </w:rPr>
        <w:t xml:space="preserve">could restrict </w:t>
      </w:r>
      <w:r w:rsidR="00715D87" w:rsidRPr="005125A0">
        <w:rPr>
          <w:rFonts w:cs="Georgia"/>
          <w:color w:val="262626"/>
          <w:sz w:val="22"/>
          <w:szCs w:val="22"/>
          <w:lang w:val="en-US"/>
        </w:rPr>
        <w:t xml:space="preserve">our </w:t>
      </w:r>
      <w:r w:rsidR="00CF0E3A" w:rsidRPr="005125A0">
        <w:rPr>
          <w:rFonts w:cs="Georgia"/>
          <w:color w:val="262626"/>
          <w:sz w:val="22"/>
          <w:szCs w:val="22"/>
          <w:lang w:val="en-US"/>
        </w:rPr>
        <w:t>government’s ability to support local small businesses and not-for-profit providers.</w:t>
      </w:r>
      <w:r w:rsidR="003B578A" w:rsidRPr="005125A0">
        <w:rPr>
          <w:rFonts w:cs="Georgia"/>
          <w:color w:val="262626"/>
          <w:sz w:val="22"/>
          <w:szCs w:val="22"/>
          <w:lang w:val="en-US"/>
        </w:rPr>
        <w:t xml:space="preserve"> And</w:t>
      </w:r>
      <w:r w:rsidRPr="005125A0">
        <w:rPr>
          <w:rFonts w:cs="Georgia"/>
          <w:color w:val="262626"/>
          <w:sz w:val="22"/>
          <w:szCs w:val="22"/>
          <w:lang w:val="en-US"/>
        </w:rPr>
        <w:t xml:space="preserve"> p</w:t>
      </w:r>
      <w:r w:rsidR="00CF0E3A" w:rsidRPr="005125A0">
        <w:rPr>
          <w:rFonts w:cs="Georgia"/>
          <w:color w:val="343434"/>
          <w:sz w:val="22"/>
          <w:szCs w:val="22"/>
          <w:lang w:val="en-US"/>
        </w:rPr>
        <w:t xml:space="preserve">rice controls on goods such as medicines </w:t>
      </w:r>
      <w:r w:rsidR="000F6E7C">
        <w:rPr>
          <w:rFonts w:cs="Georgia"/>
          <w:color w:val="343434"/>
          <w:sz w:val="22"/>
          <w:szCs w:val="22"/>
          <w:lang w:val="en-US"/>
        </w:rPr>
        <w:t>could be removed if these were</w:t>
      </w:r>
      <w:r w:rsidR="003B578A" w:rsidRPr="005125A0">
        <w:rPr>
          <w:rFonts w:cs="Georgia"/>
          <w:color w:val="343434"/>
          <w:sz w:val="22"/>
          <w:szCs w:val="22"/>
          <w:lang w:val="en-US"/>
        </w:rPr>
        <w:t xml:space="preserve"> seen as barriers to trade or</w:t>
      </w:r>
      <w:r w:rsidR="00CF0E3A" w:rsidRPr="005125A0">
        <w:rPr>
          <w:rFonts w:cs="Georgia"/>
          <w:color w:val="343434"/>
          <w:sz w:val="22"/>
          <w:szCs w:val="22"/>
          <w:lang w:val="en-US"/>
        </w:rPr>
        <w:t xml:space="preserve"> limit the profits of transnational corpo</w:t>
      </w:r>
      <w:r w:rsidR="004F564F">
        <w:rPr>
          <w:rFonts w:cs="Georgia"/>
          <w:color w:val="343434"/>
          <w:sz w:val="22"/>
          <w:szCs w:val="22"/>
          <w:lang w:val="en-US"/>
        </w:rPr>
        <w:t>rations</w:t>
      </w:r>
      <w:r w:rsidR="000F6E7C">
        <w:rPr>
          <w:rFonts w:cs="Georgia"/>
          <w:color w:val="343434"/>
          <w:sz w:val="22"/>
          <w:szCs w:val="22"/>
          <w:lang w:val="en-US"/>
        </w:rPr>
        <w:t>,</w:t>
      </w:r>
      <w:r w:rsidR="003B578A" w:rsidRPr="005125A0">
        <w:rPr>
          <w:rFonts w:cs="Georgia"/>
          <w:color w:val="343434"/>
          <w:sz w:val="22"/>
          <w:szCs w:val="22"/>
          <w:lang w:val="en-US"/>
        </w:rPr>
        <w:t xml:space="preserve"> such as drug companies, with </w:t>
      </w:r>
      <w:r w:rsidR="00CF0E3A" w:rsidRPr="005125A0">
        <w:rPr>
          <w:rFonts w:cs="Georgia"/>
          <w:color w:val="343434"/>
          <w:sz w:val="22"/>
          <w:szCs w:val="22"/>
          <w:lang w:val="en-US"/>
        </w:rPr>
        <w:t>serious implications for the public purse.</w:t>
      </w:r>
      <w:r w:rsidR="00CF0E3A" w:rsidRPr="005125A0">
        <w:rPr>
          <w:rStyle w:val="FootnoteReference"/>
          <w:rFonts w:cs="Georgia"/>
          <w:color w:val="343434"/>
          <w:sz w:val="22"/>
          <w:szCs w:val="22"/>
          <w:lang w:val="en-US"/>
        </w:rPr>
        <w:footnoteReference w:id="5"/>
      </w:r>
      <w:r w:rsidRPr="005125A0">
        <w:rPr>
          <w:rFonts w:cs="Georgia"/>
          <w:color w:val="343434"/>
          <w:sz w:val="22"/>
          <w:szCs w:val="22"/>
          <w:lang w:val="en-US"/>
        </w:rPr>
        <w:t xml:space="preserve"> In addition, CETA and TTIP </w:t>
      </w:r>
      <w:r w:rsidR="00715D87" w:rsidRPr="005125A0">
        <w:rPr>
          <w:rFonts w:cs="Georgia"/>
          <w:color w:val="343434"/>
          <w:sz w:val="22"/>
          <w:szCs w:val="22"/>
          <w:lang w:val="en-US"/>
        </w:rPr>
        <w:t xml:space="preserve">negotiations </w:t>
      </w:r>
      <w:r w:rsidRPr="005125A0">
        <w:rPr>
          <w:rFonts w:cs="Georgia"/>
          <w:color w:val="343434"/>
          <w:sz w:val="22"/>
          <w:szCs w:val="22"/>
          <w:lang w:val="en-US"/>
        </w:rPr>
        <w:t>have not considered the NHS in the broader context of the</w:t>
      </w:r>
      <w:r w:rsidR="003B578A" w:rsidRPr="005125A0">
        <w:rPr>
          <w:rFonts w:cs="Georgia"/>
          <w:color w:val="343434"/>
          <w:sz w:val="22"/>
          <w:szCs w:val="22"/>
          <w:lang w:val="en-US"/>
        </w:rPr>
        <w:t xml:space="preserve"> need to integrate</w:t>
      </w:r>
      <w:r w:rsidRPr="005125A0">
        <w:rPr>
          <w:rFonts w:cs="Georgia"/>
          <w:color w:val="343434"/>
          <w:sz w:val="22"/>
          <w:szCs w:val="22"/>
          <w:lang w:val="en-US"/>
        </w:rPr>
        <w:t xml:space="preserve"> health and social care services</w:t>
      </w:r>
      <w:r w:rsidR="006A41C9" w:rsidRPr="005125A0">
        <w:rPr>
          <w:rFonts w:cs="Georgia"/>
          <w:color w:val="343434"/>
          <w:sz w:val="22"/>
          <w:szCs w:val="22"/>
          <w:lang w:val="en-US"/>
        </w:rPr>
        <w:t>.</w:t>
      </w:r>
      <w:r w:rsidR="00D21B67">
        <w:rPr>
          <w:rFonts w:cs="Georgia"/>
          <w:color w:val="343434"/>
          <w:sz w:val="22"/>
          <w:szCs w:val="22"/>
          <w:lang w:val="en-US"/>
        </w:rPr>
        <w:t xml:space="preserve"> Plus </w:t>
      </w:r>
      <w:r w:rsidR="006A41C9" w:rsidRPr="005125A0">
        <w:rPr>
          <w:rFonts w:cs="Georgia"/>
          <w:color w:val="343434"/>
          <w:sz w:val="22"/>
          <w:szCs w:val="22"/>
          <w:lang w:val="en-US"/>
        </w:rPr>
        <w:t>public health is integral to a well-functioning health system. However the principles and processes of these kinds of trade deals do not address health inequalities and social determinants of health</w:t>
      </w:r>
      <w:r w:rsidR="0007029B" w:rsidRPr="005125A0">
        <w:rPr>
          <w:rFonts w:cs="Georgia"/>
          <w:color w:val="343434"/>
          <w:sz w:val="22"/>
          <w:szCs w:val="22"/>
          <w:lang w:val="en-US"/>
        </w:rPr>
        <w:t>. Theses types of trade deals</w:t>
      </w:r>
      <w:r w:rsidR="006A41C9" w:rsidRPr="005125A0">
        <w:rPr>
          <w:rFonts w:cs="Georgia"/>
          <w:color w:val="343434"/>
          <w:sz w:val="22"/>
          <w:szCs w:val="22"/>
          <w:lang w:val="en-US"/>
        </w:rPr>
        <w:t xml:space="preserve"> may indeed obstruct public health efforts with </w:t>
      </w:r>
      <w:r w:rsidR="0007029B" w:rsidRPr="005125A0">
        <w:rPr>
          <w:rFonts w:cs="Georgia"/>
          <w:color w:val="343434"/>
          <w:sz w:val="22"/>
          <w:szCs w:val="22"/>
          <w:lang w:val="en-US"/>
        </w:rPr>
        <w:t xml:space="preserve">their emphasis on </w:t>
      </w:r>
      <w:r w:rsidR="001B2A4B" w:rsidRPr="005125A0">
        <w:rPr>
          <w:rFonts w:cs="Georgia"/>
          <w:color w:val="343434"/>
          <w:sz w:val="22"/>
          <w:szCs w:val="22"/>
          <w:lang w:val="en-US"/>
        </w:rPr>
        <w:t>profit making</w:t>
      </w:r>
      <w:r w:rsidR="0007029B" w:rsidRPr="005125A0">
        <w:rPr>
          <w:rFonts w:cs="Georgia"/>
          <w:color w:val="343434"/>
          <w:sz w:val="22"/>
          <w:szCs w:val="22"/>
          <w:lang w:val="en-US"/>
        </w:rPr>
        <w:t xml:space="preserve"> and deregulation.</w:t>
      </w:r>
    </w:p>
    <w:p w14:paraId="68F36A80" w14:textId="73528B4C" w:rsidR="00CF0E3A" w:rsidRPr="005125A0" w:rsidRDefault="006A41C9" w:rsidP="00CF0E3A">
      <w:pPr>
        <w:widowControl w:val="0"/>
        <w:autoSpaceDE w:val="0"/>
        <w:autoSpaceDN w:val="0"/>
        <w:adjustRightInd w:val="0"/>
        <w:rPr>
          <w:sz w:val="22"/>
          <w:szCs w:val="22"/>
        </w:rPr>
      </w:pPr>
      <w:r w:rsidRPr="005125A0">
        <w:rPr>
          <w:rFonts w:cs="Georgia"/>
          <w:color w:val="343434"/>
          <w:sz w:val="22"/>
          <w:szCs w:val="22"/>
          <w:lang w:val="en-US"/>
        </w:rPr>
        <w:t xml:space="preserve"> </w:t>
      </w:r>
    </w:p>
    <w:p w14:paraId="5D49AD54" w14:textId="77777777" w:rsidR="00CF0E3A" w:rsidRPr="005125A0" w:rsidRDefault="004402C4" w:rsidP="00CF0E3A">
      <w:pPr>
        <w:widowControl w:val="0"/>
        <w:autoSpaceDE w:val="0"/>
        <w:autoSpaceDN w:val="0"/>
        <w:adjustRightInd w:val="0"/>
        <w:rPr>
          <w:rFonts w:cs="Georgia"/>
          <w:color w:val="343434"/>
          <w:sz w:val="22"/>
          <w:szCs w:val="22"/>
          <w:lang w:val="en-US"/>
        </w:rPr>
      </w:pPr>
      <w:r w:rsidRPr="005125A0">
        <w:rPr>
          <w:sz w:val="22"/>
          <w:szCs w:val="22"/>
        </w:rPr>
        <w:t xml:space="preserve">The biggest risk however is to the future of the NHS as a publicly run, publicly provided service. </w:t>
      </w:r>
      <w:r w:rsidR="006B1077" w:rsidRPr="005125A0">
        <w:rPr>
          <w:sz w:val="22"/>
          <w:szCs w:val="22"/>
        </w:rPr>
        <w:t xml:space="preserve">Despite assurances </w:t>
      </w:r>
      <w:r w:rsidR="00A6731E" w:rsidRPr="005125A0">
        <w:rPr>
          <w:sz w:val="22"/>
          <w:szCs w:val="22"/>
        </w:rPr>
        <w:t xml:space="preserve">to the contrary </w:t>
      </w:r>
      <w:r w:rsidR="006B1077" w:rsidRPr="005125A0">
        <w:rPr>
          <w:sz w:val="22"/>
          <w:szCs w:val="22"/>
        </w:rPr>
        <w:t>from differ</w:t>
      </w:r>
      <w:r w:rsidR="00B374DE" w:rsidRPr="005125A0">
        <w:rPr>
          <w:sz w:val="22"/>
          <w:szCs w:val="22"/>
        </w:rPr>
        <w:t xml:space="preserve">ent government representatives, </w:t>
      </w:r>
      <w:r w:rsidR="00A6731E" w:rsidRPr="005125A0">
        <w:rPr>
          <w:sz w:val="22"/>
          <w:szCs w:val="22"/>
        </w:rPr>
        <w:t xml:space="preserve">the NHS </w:t>
      </w:r>
      <w:r w:rsidR="00615C55" w:rsidRPr="005125A0">
        <w:rPr>
          <w:sz w:val="22"/>
          <w:szCs w:val="22"/>
        </w:rPr>
        <w:t xml:space="preserve">has not been safeguarded from </w:t>
      </w:r>
      <w:r w:rsidR="00A6731E" w:rsidRPr="005125A0">
        <w:rPr>
          <w:sz w:val="22"/>
          <w:szCs w:val="22"/>
        </w:rPr>
        <w:t xml:space="preserve">CETA and TTIP. This is because the Health and Social Care Act (2012) required the vast majority of NHS services to be put out to competitive tender. Previously, as a </w:t>
      </w:r>
      <w:r w:rsidR="007015BA" w:rsidRPr="005125A0">
        <w:rPr>
          <w:rFonts w:cs="Arial"/>
          <w:sz w:val="22"/>
          <w:szCs w:val="22"/>
        </w:rPr>
        <w:t xml:space="preserve">service “supplied in the exercise of government authority” </w:t>
      </w:r>
      <w:r w:rsidR="00F76AF4" w:rsidRPr="005125A0">
        <w:rPr>
          <w:rFonts w:cs="Arial"/>
          <w:sz w:val="22"/>
          <w:szCs w:val="22"/>
        </w:rPr>
        <w:t>(GATS Article 1:3b), the NHS w</w:t>
      </w:r>
      <w:r w:rsidR="001213F4" w:rsidRPr="005125A0">
        <w:rPr>
          <w:rFonts w:cs="Arial"/>
          <w:sz w:val="22"/>
          <w:szCs w:val="22"/>
        </w:rPr>
        <w:t xml:space="preserve">as </w:t>
      </w:r>
      <w:r w:rsidR="00615C55" w:rsidRPr="005125A0">
        <w:rPr>
          <w:rFonts w:cs="Arial"/>
          <w:sz w:val="22"/>
          <w:szCs w:val="22"/>
        </w:rPr>
        <w:t>protected</w:t>
      </w:r>
      <w:r w:rsidR="007015BA" w:rsidRPr="005125A0">
        <w:rPr>
          <w:rFonts w:cs="Arial"/>
          <w:sz w:val="22"/>
          <w:szCs w:val="22"/>
        </w:rPr>
        <w:t xml:space="preserve"> from inclusion in trade agreements</w:t>
      </w:r>
      <w:r w:rsidR="00A6731E" w:rsidRPr="005125A0">
        <w:rPr>
          <w:rFonts w:cs="Arial"/>
          <w:sz w:val="22"/>
          <w:szCs w:val="22"/>
        </w:rPr>
        <w:t>,</w:t>
      </w:r>
      <w:r w:rsidR="007015BA" w:rsidRPr="005125A0">
        <w:rPr>
          <w:rFonts w:cs="Arial"/>
          <w:sz w:val="22"/>
          <w:szCs w:val="22"/>
        </w:rPr>
        <w:t xml:space="preserve"> as </w:t>
      </w:r>
      <w:r w:rsidR="00A6731E" w:rsidRPr="005125A0">
        <w:rPr>
          <w:rFonts w:cs="Arial"/>
          <w:sz w:val="22"/>
          <w:szCs w:val="22"/>
        </w:rPr>
        <w:t xml:space="preserve">long as </w:t>
      </w:r>
      <w:r w:rsidR="007015BA" w:rsidRPr="005125A0">
        <w:rPr>
          <w:rFonts w:cs="Arial"/>
          <w:sz w:val="22"/>
          <w:szCs w:val="22"/>
        </w:rPr>
        <w:t>it was “supplied neither on a commercial basis, nor in competition” (GATS Article 1:3c).</w:t>
      </w:r>
      <w:r w:rsidR="00A6731E" w:rsidRPr="005125A0">
        <w:rPr>
          <w:rFonts w:cs="Arial"/>
          <w:sz w:val="22"/>
          <w:szCs w:val="22"/>
        </w:rPr>
        <w:t xml:space="preserve"> </w:t>
      </w:r>
      <w:r w:rsidR="00C532A9" w:rsidRPr="005125A0">
        <w:rPr>
          <w:sz w:val="22"/>
          <w:szCs w:val="22"/>
        </w:rPr>
        <w:t xml:space="preserve"> Both CETA and TTIP have been based on negative listing (meaning that the</w:t>
      </w:r>
      <w:r w:rsidR="00615C55" w:rsidRPr="005125A0">
        <w:rPr>
          <w:sz w:val="22"/>
          <w:szCs w:val="22"/>
        </w:rPr>
        <w:t>y cover</w:t>
      </w:r>
      <w:r w:rsidR="00C532A9" w:rsidRPr="005125A0">
        <w:rPr>
          <w:sz w:val="22"/>
          <w:szCs w:val="22"/>
        </w:rPr>
        <w:t xml:space="preserve"> everything that is not explicitly excluded), and </w:t>
      </w:r>
      <w:r w:rsidR="003B578A" w:rsidRPr="005125A0">
        <w:rPr>
          <w:sz w:val="22"/>
          <w:szCs w:val="22"/>
        </w:rPr>
        <w:t xml:space="preserve">they </w:t>
      </w:r>
      <w:r w:rsidR="00C532A9" w:rsidRPr="005125A0">
        <w:rPr>
          <w:sz w:val="22"/>
          <w:szCs w:val="22"/>
        </w:rPr>
        <w:t xml:space="preserve">have not reserved </w:t>
      </w:r>
      <w:r w:rsidR="00715D87" w:rsidRPr="005125A0">
        <w:rPr>
          <w:sz w:val="22"/>
          <w:szCs w:val="22"/>
        </w:rPr>
        <w:t xml:space="preserve">the </w:t>
      </w:r>
      <w:r w:rsidR="00C532A9" w:rsidRPr="005125A0">
        <w:rPr>
          <w:sz w:val="22"/>
          <w:szCs w:val="22"/>
        </w:rPr>
        <w:t xml:space="preserve">NHS or social care. </w:t>
      </w:r>
      <w:r w:rsidR="001213F4" w:rsidRPr="005125A0">
        <w:rPr>
          <w:sz w:val="22"/>
          <w:szCs w:val="22"/>
        </w:rPr>
        <w:t xml:space="preserve"> </w:t>
      </w:r>
      <w:r w:rsidR="00CC1F96" w:rsidRPr="005125A0">
        <w:rPr>
          <w:rFonts w:cs="Georgia"/>
          <w:color w:val="262626"/>
          <w:sz w:val="22"/>
          <w:szCs w:val="22"/>
          <w:lang w:val="en-US"/>
        </w:rPr>
        <w:t>CETA and TTIP</w:t>
      </w:r>
      <w:r w:rsidR="00F76AF4" w:rsidRPr="005125A0">
        <w:rPr>
          <w:rFonts w:cs="Georgia"/>
          <w:color w:val="262626"/>
          <w:sz w:val="22"/>
          <w:szCs w:val="22"/>
          <w:lang w:val="en-US"/>
        </w:rPr>
        <w:t>, if finally agreed,</w:t>
      </w:r>
      <w:r w:rsidR="00CC1F96" w:rsidRPr="005125A0">
        <w:rPr>
          <w:rFonts w:cs="Georgia"/>
          <w:color w:val="262626"/>
          <w:sz w:val="22"/>
          <w:szCs w:val="22"/>
          <w:lang w:val="en-US"/>
        </w:rPr>
        <w:t xml:space="preserve"> will not only open up the NHS to </w:t>
      </w:r>
      <w:r w:rsidR="00CC1F96" w:rsidRPr="005125A0">
        <w:rPr>
          <w:rFonts w:cs="Georgia"/>
          <w:color w:val="343434"/>
          <w:sz w:val="22"/>
          <w:szCs w:val="22"/>
          <w:lang w:val="en-US"/>
        </w:rPr>
        <w:t xml:space="preserve">transnational companies wanting NHS contracts. </w:t>
      </w:r>
      <w:r w:rsidR="00CC1F96" w:rsidRPr="005125A0">
        <w:rPr>
          <w:rFonts w:cs="Georgia"/>
          <w:color w:val="262626"/>
          <w:sz w:val="22"/>
          <w:szCs w:val="22"/>
          <w:lang w:val="en-US"/>
        </w:rPr>
        <w:t>The</w:t>
      </w:r>
      <w:r w:rsidR="00A6731E" w:rsidRPr="005125A0">
        <w:rPr>
          <w:rFonts w:cs="Georgia"/>
          <w:color w:val="262626"/>
          <w:sz w:val="22"/>
          <w:szCs w:val="22"/>
          <w:lang w:val="en-US"/>
        </w:rPr>
        <w:t>y</w:t>
      </w:r>
      <w:r w:rsidR="00CC1F96" w:rsidRPr="005125A0">
        <w:rPr>
          <w:rFonts w:cs="Georgia"/>
          <w:color w:val="262626"/>
          <w:sz w:val="22"/>
          <w:szCs w:val="22"/>
          <w:lang w:val="en-US"/>
        </w:rPr>
        <w:t xml:space="preserve"> also contain ‘standstill’ and ‘ratchet’ mechanisms that lock in the treaties’ terms and make privatisation of the NHS permanent</w:t>
      </w:r>
      <w:r w:rsidR="00A6731E" w:rsidRPr="005125A0">
        <w:rPr>
          <w:rFonts w:cs="Georgia"/>
          <w:color w:val="262626"/>
          <w:sz w:val="22"/>
          <w:szCs w:val="22"/>
          <w:lang w:val="en-US"/>
        </w:rPr>
        <w:t>.</w:t>
      </w:r>
      <w:r w:rsidR="00CC1F96" w:rsidRPr="005125A0">
        <w:rPr>
          <w:rFonts w:cs="Georgia"/>
          <w:color w:val="343434"/>
          <w:sz w:val="22"/>
          <w:szCs w:val="22"/>
          <w:lang w:val="en-US"/>
        </w:rPr>
        <w:t xml:space="preserve"> </w:t>
      </w:r>
      <w:r w:rsidR="000A4B0B" w:rsidRPr="005125A0">
        <w:rPr>
          <w:rFonts w:cs="Georgia"/>
          <w:color w:val="343434"/>
          <w:sz w:val="22"/>
          <w:szCs w:val="22"/>
          <w:lang w:val="en-US"/>
        </w:rPr>
        <w:t xml:space="preserve"> </w:t>
      </w:r>
    </w:p>
    <w:p w14:paraId="6E8B60E1" w14:textId="77777777" w:rsidR="00CF0E3A" w:rsidRPr="005125A0" w:rsidRDefault="00CF0E3A" w:rsidP="00F76AF4">
      <w:pPr>
        <w:jc w:val="both"/>
        <w:rPr>
          <w:rFonts w:cs="Georgia"/>
          <w:color w:val="343434"/>
          <w:sz w:val="22"/>
          <w:szCs w:val="22"/>
          <w:lang w:val="en-US"/>
        </w:rPr>
      </w:pPr>
    </w:p>
    <w:p w14:paraId="7410911F" w14:textId="77777777" w:rsidR="00615C55" w:rsidRPr="005125A0" w:rsidRDefault="004402C4" w:rsidP="004402C4">
      <w:pPr>
        <w:jc w:val="both"/>
        <w:rPr>
          <w:rFonts w:cs="Arial"/>
          <w:b/>
          <w:color w:val="1A1A1A"/>
          <w:sz w:val="22"/>
          <w:szCs w:val="22"/>
          <w:lang w:val="en-US"/>
        </w:rPr>
      </w:pPr>
      <w:r w:rsidRPr="005125A0">
        <w:rPr>
          <w:rFonts w:cs="Georgia"/>
          <w:b/>
          <w:color w:val="343434"/>
          <w:sz w:val="22"/>
          <w:szCs w:val="22"/>
          <w:lang w:val="en-US"/>
        </w:rPr>
        <w:t>We believe that future UK trade deals need to explicit</w:t>
      </w:r>
      <w:r w:rsidR="003B578A" w:rsidRPr="005125A0">
        <w:rPr>
          <w:rFonts w:cs="Georgia"/>
          <w:b/>
          <w:color w:val="343434"/>
          <w:sz w:val="22"/>
          <w:szCs w:val="22"/>
          <w:lang w:val="en-US"/>
        </w:rPr>
        <w:t>ly</w:t>
      </w:r>
      <w:r w:rsidRPr="005125A0">
        <w:rPr>
          <w:rFonts w:cs="Georgia"/>
          <w:b/>
          <w:color w:val="343434"/>
          <w:sz w:val="22"/>
          <w:szCs w:val="22"/>
          <w:lang w:val="en-US"/>
        </w:rPr>
        <w:t xml:space="preserve"> exclude the NHS to ensure the best use of public resources and ensure equity in access to health services. Because of the comprehensive nature of the NHS, exclusion needs to apply </w:t>
      </w:r>
      <w:bookmarkStart w:id="0" w:name="OLE_LINK1"/>
      <w:bookmarkStart w:id="1" w:name="OLE_LINK2"/>
      <w:r w:rsidR="00615C55" w:rsidRPr="005125A0">
        <w:rPr>
          <w:rFonts w:cs="Arial"/>
          <w:b/>
          <w:color w:val="1A1A1A"/>
          <w:sz w:val="22"/>
          <w:szCs w:val="22"/>
          <w:lang w:val="en-US"/>
        </w:rPr>
        <w:t xml:space="preserve">across all </w:t>
      </w:r>
      <w:r w:rsidRPr="005125A0">
        <w:rPr>
          <w:rFonts w:cs="Arial"/>
          <w:b/>
          <w:color w:val="1A1A1A"/>
          <w:sz w:val="22"/>
          <w:szCs w:val="22"/>
          <w:lang w:val="en-US"/>
        </w:rPr>
        <w:t xml:space="preserve">of a treaty’s </w:t>
      </w:r>
      <w:r w:rsidR="00615C55" w:rsidRPr="005125A0">
        <w:rPr>
          <w:rFonts w:cs="Arial"/>
          <w:b/>
          <w:color w:val="1A1A1A"/>
          <w:sz w:val="22"/>
          <w:szCs w:val="22"/>
          <w:lang w:val="en-US"/>
        </w:rPr>
        <w:t>chapters</w:t>
      </w:r>
      <w:r w:rsidR="003B578A" w:rsidRPr="005125A0">
        <w:rPr>
          <w:rFonts w:cs="Arial"/>
          <w:b/>
          <w:color w:val="1A1A1A"/>
          <w:sz w:val="22"/>
          <w:szCs w:val="22"/>
          <w:lang w:val="en-US"/>
        </w:rPr>
        <w:t>,</w:t>
      </w:r>
      <w:r w:rsidR="00615C55" w:rsidRPr="005125A0">
        <w:rPr>
          <w:rFonts w:cs="Arial"/>
          <w:b/>
          <w:color w:val="1A1A1A"/>
          <w:sz w:val="22"/>
          <w:szCs w:val="22"/>
          <w:lang w:val="en-US"/>
        </w:rPr>
        <w:t xml:space="preserve"> </w:t>
      </w:r>
      <w:r w:rsidRPr="005125A0">
        <w:rPr>
          <w:rFonts w:cs="Arial"/>
          <w:b/>
          <w:color w:val="1A1A1A"/>
          <w:sz w:val="22"/>
          <w:szCs w:val="22"/>
          <w:lang w:val="en-US"/>
        </w:rPr>
        <w:t xml:space="preserve">including those </w:t>
      </w:r>
      <w:r w:rsidR="00615C55" w:rsidRPr="005125A0">
        <w:rPr>
          <w:rFonts w:cs="Arial"/>
          <w:b/>
          <w:color w:val="1A1A1A"/>
          <w:sz w:val="22"/>
          <w:szCs w:val="22"/>
          <w:lang w:val="en-US"/>
        </w:rPr>
        <w:t xml:space="preserve">for </w:t>
      </w:r>
      <w:r w:rsidRPr="005125A0">
        <w:rPr>
          <w:rFonts w:cs="Arial"/>
          <w:b/>
          <w:color w:val="1A1A1A"/>
          <w:sz w:val="22"/>
          <w:szCs w:val="22"/>
          <w:lang w:val="en-US"/>
        </w:rPr>
        <w:t xml:space="preserve">government procurement, </w:t>
      </w:r>
      <w:r w:rsidR="00615C55" w:rsidRPr="005125A0">
        <w:rPr>
          <w:rFonts w:cs="Arial"/>
          <w:b/>
          <w:color w:val="1A1A1A"/>
          <w:sz w:val="22"/>
          <w:szCs w:val="22"/>
          <w:lang w:val="en-US"/>
        </w:rPr>
        <w:t>investment protection</w:t>
      </w:r>
      <w:r w:rsidRPr="005125A0">
        <w:rPr>
          <w:rFonts w:cs="Arial"/>
          <w:b/>
          <w:color w:val="1A1A1A"/>
          <w:sz w:val="22"/>
          <w:szCs w:val="22"/>
          <w:lang w:val="en-US"/>
        </w:rPr>
        <w:t xml:space="preserve"> and regulatory cooperation (should these be included)</w:t>
      </w:r>
      <w:r w:rsidR="00615C55" w:rsidRPr="005125A0">
        <w:rPr>
          <w:rFonts w:cs="Arial"/>
          <w:b/>
          <w:color w:val="1A1A1A"/>
          <w:sz w:val="22"/>
          <w:szCs w:val="22"/>
          <w:lang w:val="en-US"/>
        </w:rPr>
        <w:t xml:space="preserve">, </w:t>
      </w:r>
      <w:r w:rsidRPr="005125A0">
        <w:rPr>
          <w:rFonts w:cs="Arial"/>
          <w:b/>
          <w:color w:val="1A1A1A"/>
          <w:sz w:val="22"/>
          <w:szCs w:val="22"/>
          <w:lang w:val="en-US"/>
        </w:rPr>
        <w:t xml:space="preserve">as well as </w:t>
      </w:r>
      <w:r w:rsidR="00615C55" w:rsidRPr="005125A0">
        <w:rPr>
          <w:rFonts w:cs="Arial"/>
          <w:b/>
          <w:color w:val="1A1A1A"/>
          <w:sz w:val="22"/>
          <w:szCs w:val="22"/>
          <w:lang w:val="en-US"/>
        </w:rPr>
        <w:t xml:space="preserve">domestic regulation, intellectual property rights, pharmaceuticals, </w:t>
      </w:r>
      <w:r w:rsidR="003B578A" w:rsidRPr="005125A0">
        <w:rPr>
          <w:rFonts w:cs="Arial"/>
          <w:b/>
          <w:color w:val="1A1A1A"/>
          <w:sz w:val="22"/>
          <w:szCs w:val="22"/>
          <w:lang w:val="en-US"/>
        </w:rPr>
        <w:t xml:space="preserve">and </w:t>
      </w:r>
      <w:r w:rsidR="00615C55" w:rsidRPr="005125A0">
        <w:rPr>
          <w:rFonts w:cs="Arial"/>
          <w:b/>
          <w:color w:val="1A1A1A"/>
          <w:sz w:val="22"/>
          <w:szCs w:val="22"/>
          <w:lang w:val="en-US"/>
        </w:rPr>
        <w:t>medical devices.</w:t>
      </w:r>
    </w:p>
    <w:p w14:paraId="3A9C35FE" w14:textId="77777777" w:rsidR="00715D87" w:rsidRPr="005125A0" w:rsidRDefault="00715D87" w:rsidP="004402C4">
      <w:pPr>
        <w:jc w:val="both"/>
        <w:rPr>
          <w:rFonts w:cs="Arial"/>
          <w:b/>
          <w:color w:val="1A1A1A"/>
          <w:sz w:val="22"/>
          <w:szCs w:val="22"/>
          <w:lang w:val="en-US"/>
        </w:rPr>
      </w:pPr>
    </w:p>
    <w:p w14:paraId="6CB9D8B9" w14:textId="40B6C8BD" w:rsidR="00615C55" w:rsidRPr="005125A0" w:rsidRDefault="007C30D9" w:rsidP="005125A0">
      <w:pPr>
        <w:jc w:val="both"/>
        <w:rPr>
          <w:rFonts w:cs="Arial"/>
          <w:color w:val="1A1A1A"/>
          <w:sz w:val="22"/>
          <w:szCs w:val="22"/>
          <w:lang w:val="en-US"/>
        </w:rPr>
      </w:pPr>
      <w:r w:rsidRPr="004F564F">
        <w:rPr>
          <w:rFonts w:cs="Arial"/>
          <w:color w:val="1A1A1A"/>
          <w:sz w:val="22"/>
          <w:szCs w:val="22"/>
          <w:lang w:val="en-US"/>
        </w:rPr>
        <w:t xml:space="preserve">5. </w:t>
      </w:r>
      <w:r w:rsidR="00715D87" w:rsidRPr="005125A0">
        <w:rPr>
          <w:rFonts w:cs="Arial"/>
          <w:b/>
          <w:color w:val="1A1A1A"/>
          <w:sz w:val="22"/>
          <w:szCs w:val="22"/>
          <w:lang w:val="en-US"/>
        </w:rPr>
        <w:t>In summary</w:t>
      </w:r>
      <w:r w:rsidR="00715D87" w:rsidRPr="005125A0">
        <w:rPr>
          <w:rFonts w:cs="Arial"/>
          <w:color w:val="1A1A1A"/>
          <w:sz w:val="22"/>
          <w:szCs w:val="22"/>
          <w:lang w:val="en-US"/>
        </w:rPr>
        <w:t xml:space="preserve">, </w:t>
      </w:r>
      <w:r w:rsidR="007B1859" w:rsidRPr="005125A0">
        <w:rPr>
          <w:rFonts w:cs="Arial"/>
          <w:color w:val="1A1A1A"/>
          <w:sz w:val="22"/>
          <w:szCs w:val="22"/>
          <w:lang w:val="en-US"/>
        </w:rPr>
        <w:t>we believe that future trade agreements should:</w:t>
      </w:r>
      <w:r w:rsidR="00715D87" w:rsidRPr="005125A0">
        <w:rPr>
          <w:rFonts w:cs="Arial"/>
          <w:color w:val="1A1A1A"/>
          <w:sz w:val="22"/>
          <w:szCs w:val="22"/>
          <w:lang w:val="en-US"/>
        </w:rPr>
        <w:t xml:space="preserve"> </w:t>
      </w:r>
    </w:p>
    <w:p w14:paraId="30BC2CC4" w14:textId="77777777" w:rsidR="00CC1F96" w:rsidRPr="005125A0" w:rsidRDefault="00CC1F96" w:rsidP="00CC1F96">
      <w:pPr>
        <w:widowControl w:val="0"/>
        <w:autoSpaceDE w:val="0"/>
        <w:autoSpaceDN w:val="0"/>
        <w:adjustRightInd w:val="0"/>
        <w:rPr>
          <w:rFonts w:cs="Georgia"/>
          <w:color w:val="343434"/>
          <w:sz w:val="22"/>
          <w:szCs w:val="22"/>
          <w:lang w:val="en-US"/>
        </w:rPr>
      </w:pPr>
    </w:p>
    <w:bookmarkEnd w:id="0"/>
    <w:bookmarkEnd w:id="1"/>
    <w:p w14:paraId="3E0E22E9" w14:textId="77777777" w:rsidR="00715D87" w:rsidRPr="005125A0" w:rsidRDefault="00715D87" w:rsidP="005125A0">
      <w:pPr>
        <w:pStyle w:val="ListParagraph"/>
        <w:widowControl w:val="0"/>
        <w:numPr>
          <w:ilvl w:val="0"/>
          <w:numId w:val="9"/>
        </w:numPr>
        <w:autoSpaceDE w:val="0"/>
        <w:autoSpaceDN w:val="0"/>
        <w:adjustRightInd w:val="0"/>
        <w:rPr>
          <w:rFonts w:cs="Arial"/>
          <w:color w:val="1A1A1A"/>
          <w:sz w:val="22"/>
          <w:szCs w:val="22"/>
          <w:lang w:val="en-US"/>
        </w:rPr>
      </w:pPr>
      <w:r w:rsidRPr="005125A0">
        <w:rPr>
          <w:rFonts w:cs="Arial"/>
          <w:color w:val="1A1A1A"/>
          <w:sz w:val="22"/>
          <w:szCs w:val="22"/>
          <w:lang w:val="en-US"/>
        </w:rPr>
        <w:t>exclude any form of investor state dispute settlement where parties to the treaty have mature legal systems;</w:t>
      </w:r>
    </w:p>
    <w:p w14:paraId="3F5E17F7" w14:textId="77777777" w:rsidR="007C30D9" w:rsidRPr="005125A0" w:rsidRDefault="007C30D9" w:rsidP="007C30D9">
      <w:pPr>
        <w:widowControl w:val="0"/>
        <w:autoSpaceDE w:val="0"/>
        <w:autoSpaceDN w:val="0"/>
        <w:adjustRightInd w:val="0"/>
        <w:rPr>
          <w:rFonts w:cs="Arial"/>
          <w:color w:val="1A1A1A"/>
          <w:sz w:val="22"/>
          <w:szCs w:val="22"/>
          <w:lang w:val="en-US"/>
        </w:rPr>
      </w:pPr>
    </w:p>
    <w:p w14:paraId="17CA37F9" w14:textId="1849C1E2" w:rsidR="00704505" w:rsidRPr="005125A0" w:rsidRDefault="00704505" w:rsidP="005125A0">
      <w:pPr>
        <w:pStyle w:val="ListParagraph"/>
        <w:widowControl w:val="0"/>
        <w:numPr>
          <w:ilvl w:val="0"/>
          <w:numId w:val="9"/>
        </w:numPr>
        <w:autoSpaceDE w:val="0"/>
        <w:autoSpaceDN w:val="0"/>
        <w:adjustRightInd w:val="0"/>
        <w:rPr>
          <w:rFonts w:cs="Arial"/>
          <w:color w:val="1A1A1A"/>
          <w:sz w:val="22"/>
          <w:szCs w:val="22"/>
          <w:lang w:val="en-US"/>
        </w:rPr>
      </w:pPr>
      <w:r w:rsidRPr="005125A0">
        <w:rPr>
          <w:rFonts w:cs="Arial"/>
          <w:color w:val="1A1A1A"/>
          <w:sz w:val="22"/>
          <w:szCs w:val="22"/>
          <w:lang w:val="en-US"/>
        </w:rPr>
        <w:t>exclude any form of regulatory cooperation that has the power to influence future government legislation and privileges the interests of transnational investors o</w:t>
      </w:r>
      <w:r w:rsidR="004F564F">
        <w:rPr>
          <w:rFonts w:cs="Arial"/>
          <w:color w:val="1A1A1A"/>
          <w:sz w:val="22"/>
          <w:szCs w:val="22"/>
          <w:lang w:val="en-US"/>
        </w:rPr>
        <w:t>ver the interests of the public;</w:t>
      </w:r>
    </w:p>
    <w:p w14:paraId="6C197261" w14:textId="77777777" w:rsidR="007C30D9" w:rsidRPr="004F564F" w:rsidRDefault="007C30D9" w:rsidP="004F564F">
      <w:pPr>
        <w:widowControl w:val="0"/>
        <w:autoSpaceDE w:val="0"/>
        <w:autoSpaceDN w:val="0"/>
        <w:adjustRightInd w:val="0"/>
        <w:rPr>
          <w:rFonts w:cs="Arial"/>
          <w:color w:val="1A1A1A"/>
          <w:sz w:val="22"/>
          <w:szCs w:val="22"/>
          <w:lang w:val="en-US"/>
        </w:rPr>
      </w:pPr>
    </w:p>
    <w:p w14:paraId="2745E4D5" w14:textId="77777777" w:rsidR="00704505" w:rsidRPr="005125A0" w:rsidRDefault="00704505" w:rsidP="005125A0">
      <w:pPr>
        <w:pStyle w:val="ListParagraph"/>
        <w:widowControl w:val="0"/>
        <w:numPr>
          <w:ilvl w:val="0"/>
          <w:numId w:val="9"/>
        </w:numPr>
        <w:autoSpaceDE w:val="0"/>
        <w:autoSpaceDN w:val="0"/>
        <w:adjustRightInd w:val="0"/>
        <w:rPr>
          <w:rFonts w:cs="Arial"/>
          <w:color w:val="1A1A1A"/>
          <w:sz w:val="22"/>
          <w:szCs w:val="22"/>
          <w:lang w:val="en-US"/>
        </w:rPr>
      </w:pPr>
      <w:r w:rsidRPr="005125A0">
        <w:rPr>
          <w:rFonts w:cs="Arial"/>
          <w:color w:val="1A1A1A"/>
          <w:sz w:val="22"/>
          <w:szCs w:val="22"/>
          <w:lang w:val="en-US"/>
        </w:rPr>
        <w:t>uphold the use of the precautionary principle to assess the safety of chemicals, pharmaceuticals, medical devices etc.;</w:t>
      </w:r>
    </w:p>
    <w:p w14:paraId="3F6880F1" w14:textId="77777777" w:rsidR="007C30D9" w:rsidRPr="005125A0" w:rsidRDefault="007C30D9" w:rsidP="005125A0">
      <w:pPr>
        <w:pStyle w:val="ListParagraph"/>
        <w:widowControl w:val="0"/>
        <w:autoSpaceDE w:val="0"/>
        <w:autoSpaceDN w:val="0"/>
        <w:adjustRightInd w:val="0"/>
        <w:rPr>
          <w:rFonts w:cs="Arial"/>
          <w:color w:val="1A1A1A"/>
          <w:sz w:val="22"/>
          <w:szCs w:val="22"/>
          <w:lang w:val="en-US"/>
        </w:rPr>
      </w:pPr>
    </w:p>
    <w:p w14:paraId="272774EB" w14:textId="77777777" w:rsidR="00715D87" w:rsidRPr="005125A0" w:rsidRDefault="00C112B3" w:rsidP="005125A0">
      <w:pPr>
        <w:pStyle w:val="ListParagraph"/>
        <w:widowControl w:val="0"/>
        <w:numPr>
          <w:ilvl w:val="0"/>
          <w:numId w:val="9"/>
        </w:numPr>
        <w:autoSpaceDE w:val="0"/>
        <w:autoSpaceDN w:val="0"/>
        <w:adjustRightInd w:val="0"/>
        <w:rPr>
          <w:rFonts w:cs="Arial"/>
          <w:color w:val="1A1A1A"/>
          <w:sz w:val="22"/>
          <w:szCs w:val="22"/>
          <w:lang w:val="en-US"/>
        </w:rPr>
      </w:pPr>
      <w:r w:rsidRPr="005125A0">
        <w:rPr>
          <w:rFonts w:cs="Arial"/>
          <w:color w:val="1A1A1A"/>
          <w:sz w:val="22"/>
          <w:szCs w:val="22"/>
          <w:lang w:val="en-US"/>
        </w:rPr>
        <w:t xml:space="preserve">explicitly exclude public services (such as the </w:t>
      </w:r>
      <w:r w:rsidR="00715D87" w:rsidRPr="005125A0">
        <w:rPr>
          <w:rFonts w:cs="Arial"/>
          <w:color w:val="1A1A1A"/>
          <w:sz w:val="22"/>
          <w:szCs w:val="22"/>
          <w:lang w:val="en-US"/>
        </w:rPr>
        <w:t>NHS</w:t>
      </w:r>
      <w:r w:rsidRPr="005125A0">
        <w:rPr>
          <w:rFonts w:cs="Arial"/>
          <w:color w:val="1A1A1A"/>
          <w:sz w:val="22"/>
          <w:szCs w:val="22"/>
          <w:lang w:val="en-US"/>
        </w:rPr>
        <w:t>)</w:t>
      </w:r>
      <w:r w:rsidR="00715D87" w:rsidRPr="005125A0">
        <w:rPr>
          <w:rFonts w:cs="Arial"/>
          <w:color w:val="1A1A1A"/>
          <w:sz w:val="22"/>
          <w:szCs w:val="22"/>
          <w:lang w:val="en-US"/>
        </w:rPr>
        <w:t xml:space="preserve"> </w:t>
      </w:r>
      <w:r w:rsidRPr="005125A0">
        <w:rPr>
          <w:rFonts w:cs="Arial"/>
          <w:color w:val="1A1A1A"/>
          <w:sz w:val="22"/>
          <w:szCs w:val="22"/>
          <w:lang w:val="en-US"/>
        </w:rPr>
        <w:t xml:space="preserve">from all chapters of future trade agreements (including chapters dealing with intellectual property rights, pharmaceuticals, </w:t>
      </w:r>
      <w:r w:rsidR="00704505" w:rsidRPr="005125A0">
        <w:rPr>
          <w:rFonts w:cs="Arial"/>
          <w:color w:val="1A1A1A"/>
          <w:sz w:val="22"/>
          <w:szCs w:val="22"/>
          <w:lang w:val="en-US"/>
        </w:rPr>
        <w:t>domestic regulation</w:t>
      </w:r>
      <w:r w:rsidRPr="005125A0">
        <w:rPr>
          <w:rFonts w:cs="Arial"/>
          <w:color w:val="1A1A1A"/>
          <w:sz w:val="22"/>
          <w:szCs w:val="22"/>
          <w:lang w:val="en-US"/>
        </w:rPr>
        <w:t>);</w:t>
      </w:r>
    </w:p>
    <w:p w14:paraId="2FBD2D45" w14:textId="77777777" w:rsidR="007C30D9" w:rsidRPr="005125A0" w:rsidRDefault="007C30D9" w:rsidP="007C30D9">
      <w:pPr>
        <w:widowControl w:val="0"/>
        <w:autoSpaceDE w:val="0"/>
        <w:autoSpaceDN w:val="0"/>
        <w:adjustRightInd w:val="0"/>
        <w:rPr>
          <w:rFonts w:cs="Arial"/>
          <w:color w:val="1A1A1A"/>
          <w:sz w:val="22"/>
          <w:szCs w:val="22"/>
          <w:lang w:val="en-US"/>
        </w:rPr>
      </w:pPr>
    </w:p>
    <w:p w14:paraId="077E7800" w14:textId="77777777" w:rsidR="007B1859" w:rsidRPr="005125A0" w:rsidRDefault="007B1859" w:rsidP="005125A0">
      <w:pPr>
        <w:pStyle w:val="ListParagraph"/>
        <w:widowControl w:val="0"/>
        <w:numPr>
          <w:ilvl w:val="0"/>
          <w:numId w:val="9"/>
        </w:numPr>
        <w:autoSpaceDE w:val="0"/>
        <w:autoSpaceDN w:val="0"/>
        <w:adjustRightInd w:val="0"/>
        <w:rPr>
          <w:rFonts w:cs="Arial"/>
          <w:color w:val="1A1A1A"/>
          <w:sz w:val="22"/>
          <w:szCs w:val="22"/>
          <w:lang w:val="en-US"/>
        </w:rPr>
      </w:pPr>
      <w:r w:rsidRPr="005125A0">
        <w:rPr>
          <w:rFonts w:cs="Arial"/>
          <w:color w:val="1A1A1A"/>
          <w:sz w:val="22"/>
          <w:szCs w:val="22"/>
          <w:lang w:val="en-US"/>
        </w:rPr>
        <w:t>protect</w:t>
      </w:r>
      <w:r w:rsidR="00715D87" w:rsidRPr="005125A0">
        <w:rPr>
          <w:rFonts w:cs="Arial"/>
          <w:color w:val="1A1A1A"/>
          <w:sz w:val="22"/>
          <w:szCs w:val="22"/>
          <w:lang w:val="en-US"/>
        </w:rPr>
        <w:t xml:space="preserve"> public procurement from enforced liberalisation</w:t>
      </w:r>
      <w:r w:rsidRPr="005125A0">
        <w:rPr>
          <w:rFonts w:cs="Arial"/>
          <w:color w:val="1A1A1A"/>
          <w:sz w:val="22"/>
          <w:szCs w:val="22"/>
          <w:lang w:val="en-US"/>
        </w:rPr>
        <w:t>;</w:t>
      </w:r>
    </w:p>
    <w:p w14:paraId="19CE59DD" w14:textId="77777777" w:rsidR="007C30D9" w:rsidRPr="005125A0" w:rsidRDefault="007C30D9" w:rsidP="005125A0">
      <w:pPr>
        <w:pStyle w:val="ListParagraph"/>
        <w:widowControl w:val="0"/>
        <w:autoSpaceDE w:val="0"/>
        <w:autoSpaceDN w:val="0"/>
        <w:adjustRightInd w:val="0"/>
        <w:rPr>
          <w:rFonts w:cs="Arial"/>
          <w:color w:val="1A1A1A"/>
          <w:sz w:val="22"/>
          <w:szCs w:val="22"/>
          <w:lang w:val="en-US"/>
        </w:rPr>
      </w:pPr>
    </w:p>
    <w:p w14:paraId="1C5A402A" w14:textId="77777777" w:rsidR="007B1859" w:rsidRPr="005125A0" w:rsidRDefault="00715D87" w:rsidP="005125A0">
      <w:pPr>
        <w:pStyle w:val="ListParagraph"/>
        <w:widowControl w:val="0"/>
        <w:numPr>
          <w:ilvl w:val="0"/>
          <w:numId w:val="9"/>
        </w:numPr>
        <w:autoSpaceDE w:val="0"/>
        <w:autoSpaceDN w:val="0"/>
        <w:adjustRightInd w:val="0"/>
        <w:rPr>
          <w:rFonts w:cs="Arial"/>
          <w:color w:val="1A1A1A"/>
          <w:sz w:val="22"/>
          <w:szCs w:val="22"/>
          <w:lang w:val="en-US"/>
        </w:rPr>
      </w:pPr>
      <w:r w:rsidRPr="005125A0">
        <w:rPr>
          <w:rFonts w:cs="Arial"/>
          <w:color w:val="1A1A1A"/>
          <w:sz w:val="22"/>
          <w:szCs w:val="22"/>
          <w:lang w:val="en-US"/>
        </w:rPr>
        <w:t>protect the rights of government, at both national and local levels to regulate in the interests of the public</w:t>
      </w:r>
      <w:r w:rsidR="007B1859" w:rsidRPr="005125A0">
        <w:rPr>
          <w:rFonts w:cs="Arial"/>
          <w:color w:val="1A1A1A"/>
          <w:sz w:val="22"/>
          <w:szCs w:val="22"/>
          <w:lang w:val="en-US"/>
        </w:rPr>
        <w:t>;</w:t>
      </w:r>
    </w:p>
    <w:p w14:paraId="4D5C4CAB" w14:textId="77777777" w:rsidR="007C30D9" w:rsidRPr="005125A0" w:rsidRDefault="007C30D9" w:rsidP="007C30D9">
      <w:pPr>
        <w:widowControl w:val="0"/>
        <w:autoSpaceDE w:val="0"/>
        <w:autoSpaceDN w:val="0"/>
        <w:adjustRightInd w:val="0"/>
        <w:rPr>
          <w:rFonts w:cs="Arial"/>
          <w:color w:val="1A1A1A"/>
          <w:sz w:val="22"/>
          <w:szCs w:val="22"/>
          <w:lang w:val="en-US"/>
        </w:rPr>
      </w:pPr>
    </w:p>
    <w:p w14:paraId="10E2E333" w14:textId="4F5FC839" w:rsidR="00742DAA" w:rsidRPr="005125A0" w:rsidRDefault="007B1859" w:rsidP="005125A0">
      <w:pPr>
        <w:pStyle w:val="ListParagraph"/>
        <w:widowControl w:val="0"/>
        <w:numPr>
          <w:ilvl w:val="0"/>
          <w:numId w:val="9"/>
        </w:numPr>
        <w:autoSpaceDE w:val="0"/>
        <w:autoSpaceDN w:val="0"/>
        <w:adjustRightInd w:val="0"/>
        <w:rPr>
          <w:rFonts w:cs="Arial"/>
          <w:color w:val="1A1A1A"/>
          <w:sz w:val="22"/>
          <w:szCs w:val="22"/>
          <w:lang w:val="en-US"/>
        </w:rPr>
      </w:pPr>
      <w:r w:rsidRPr="005125A0">
        <w:rPr>
          <w:rFonts w:cs="Arial"/>
          <w:color w:val="1A1A1A"/>
          <w:sz w:val="22"/>
          <w:szCs w:val="22"/>
          <w:lang w:val="en-US"/>
        </w:rPr>
        <w:t>protect labour rights and human rights, with effective measures to deal with corporations or states th</w:t>
      </w:r>
      <w:r w:rsidR="00984870" w:rsidRPr="005125A0">
        <w:rPr>
          <w:rFonts w:cs="Arial"/>
          <w:color w:val="1A1A1A"/>
          <w:sz w:val="22"/>
          <w:szCs w:val="22"/>
          <w:lang w:val="en-US"/>
        </w:rPr>
        <w:t>at fail to respect those rights; and</w:t>
      </w:r>
    </w:p>
    <w:p w14:paraId="198F3044" w14:textId="77777777" w:rsidR="00742DAA" w:rsidRPr="005125A0" w:rsidRDefault="00742DAA" w:rsidP="005125A0">
      <w:pPr>
        <w:widowControl w:val="0"/>
        <w:autoSpaceDE w:val="0"/>
        <w:autoSpaceDN w:val="0"/>
        <w:adjustRightInd w:val="0"/>
        <w:rPr>
          <w:rFonts w:cs="Arial"/>
          <w:color w:val="1A1A1A"/>
          <w:sz w:val="22"/>
          <w:szCs w:val="22"/>
          <w:lang w:val="en-US"/>
        </w:rPr>
      </w:pPr>
    </w:p>
    <w:p w14:paraId="1BEDA69D" w14:textId="77777777" w:rsidR="004F564F" w:rsidRDefault="004F564F" w:rsidP="005125A0">
      <w:pPr>
        <w:pStyle w:val="ListParagraph"/>
        <w:widowControl w:val="0"/>
        <w:numPr>
          <w:ilvl w:val="0"/>
          <w:numId w:val="9"/>
        </w:numPr>
        <w:autoSpaceDE w:val="0"/>
        <w:autoSpaceDN w:val="0"/>
        <w:adjustRightInd w:val="0"/>
        <w:rPr>
          <w:rFonts w:cs="Arial"/>
          <w:color w:val="1A1A1A"/>
          <w:sz w:val="22"/>
          <w:szCs w:val="22"/>
          <w:lang w:val="en-US"/>
        </w:rPr>
      </w:pPr>
      <w:r>
        <w:rPr>
          <w:rFonts w:cs="Arial"/>
          <w:color w:val="1A1A1A"/>
          <w:sz w:val="22"/>
          <w:szCs w:val="22"/>
          <w:lang w:val="en-US"/>
        </w:rPr>
        <w:t xml:space="preserve">ensure </w:t>
      </w:r>
      <w:r w:rsidR="00984870" w:rsidRPr="005125A0">
        <w:rPr>
          <w:rFonts w:cs="Arial"/>
          <w:color w:val="1A1A1A"/>
          <w:sz w:val="22"/>
          <w:szCs w:val="22"/>
          <w:lang w:val="en-US"/>
        </w:rPr>
        <w:t>greater transparency during negotiati</w:t>
      </w:r>
      <w:r>
        <w:rPr>
          <w:rFonts w:cs="Arial"/>
          <w:color w:val="1A1A1A"/>
          <w:sz w:val="22"/>
          <w:szCs w:val="22"/>
          <w:lang w:val="en-US"/>
        </w:rPr>
        <w:t>ons, including greater access to texts for parliamentarians;</w:t>
      </w:r>
      <w:r w:rsidR="00984870" w:rsidRPr="005125A0">
        <w:rPr>
          <w:rFonts w:cs="Arial"/>
          <w:color w:val="1A1A1A"/>
          <w:sz w:val="22"/>
          <w:szCs w:val="22"/>
          <w:lang w:val="en-US"/>
        </w:rPr>
        <w:t xml:space="preserve"> and </w:t>
      </w:r>
    </w:p>
    <w:p w14:paraId="17E4A365" w14:textId="77777777" w:rsidR="004F564F" w:rsidRPr="004F564F" w:rsidRDefault="004F564F" w:rsidP="004F564F">
      <w:pPr>
        <w:widowControl w:val="0"/>
        <w:autoSpaceDE w:val="0"/>
        <w:autoSpaceDN w:val="0"/>
        <w:adjustRightInd w:val="0"/>
        <w:rPr>
          <w:rFonts w:cs="Arial"/>
          <w:color w:val="1A1A1A"/>
          <w:sz w:val="22"/>
          <w:szCs w:val="22"/>
          <w:lang w:val="en-US"/>
        </w:rPr>
      </w:pPr>
    </w:p>
    <w:p w14:paraId="0C3DA4D2" w14:textId="74681967" w:rsidR="00360426" w:rsidRPr="005125A0" w:rsidRDefault="004F564F" w:rsidP="000F6E7C">
      <w:pPr>
        <w:pStyle w:val="ListParagraph"/>
        <w:widowControl w:val="0"/>
        <w:numPr>
          <w:ilvl w:val="0"/>
          <w:numId w:val="9"/>
        </w:numPr>
        <w:autoSpaceDE w:val="0"/>
        <w:autoSpaceDN w:val="0"/>
        <w:adjustRightInd w:val="0"/>
        <w:rPr>
          <w:sz w:val="22"/>
          <w:szCs w:val="22"/>
        </w:rPr>
      </w:pPr>
      <w:r w:rsidRPr="004F564F">
        <w:rPr>
          <w:rFonts w:cs="Arial"/>
          <w:color w:val="1A1A1A"/>
          <w:sz w:val="22"/>
          <w:szCs w:val="22"/>
          <w:lang w:val="en-US"/>
        </w:rPr>
        <w:t xml:space="preserve">be subject to a decisive UK Parliamentary veto </w:t>
      </w:r>
      <w:r w:rsidR="00984870" w:rsidRPr="004F564F">
        <w:rPr>
          <w:rFonts w:cs="Arial"/>
          <w:color w:val="1A1A1A"/>
          <w:sz w:val="22"/>
          <w:szCs w:val="22"/>
          <w:lang w:val="en-US"/>
        </w:rPr>
        <w:t xml:space="preserve">where MPs have concerns </w:t>
      </w:r>
      <w:r>
        <w:rPr>
          <w:rFonts w:cs="Arial"/>
          <w:color w:val="1A1A1A"/>
          <w:sz w:val="22"/>
          <w:szCs w:val="22"/>
          <w:lang w:val="en-US"/>
        </w:rPr>
        <w:t xml:space="preserve">about a </w:t>
      </w:r>
      <w:bookmarkStart w:id="2" w:name="_GoBack"/>
      <w:bookmarkEnd w:id="2"/>
      <w:r>
        <w:rPr>
          <w:rFonts w:cs="Arial"/>
          <w:color w:val="1A1A1A"/>
          <w:sz w:val="22"/>
          <w:szCs w:val="22"/>
          <w:lang w:val="en-US"/>
        </w:rPr>
        <w:t>treaty’s terms.</w:t>
      </w:r>
      <w:r w:rsidR="00984870" w:rsidRPr="004F564F">
        <w:rPr>
          <w:rFonts w:cs="Arial"/>
          <w:color w:val="1A1A1A"/>
          <w:sz w:val="22"/>
          <w:szCs w:val="22"/>
          <w:lang w:val="en-US"/>
        </w:rPr>
        <w:t xml:space="preserve"> </w:t>
      </w:r>
    </w:p>
    <w:sectPr w:rsidR="00360426" w:rsidRPr="005125A0" w:rsidSect="00DF108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F3266" w14:textId="77777777" w:rsidR="000F6E7C" w:rsidRDefault="000F6E7C" w:rsidP="006B1077">
      <w:r>
        <w:separator/>
      </w:r>
    </w:p>
  </w:endnote>
  <w:endnote w:type="continuationSeparator" w:id="0">
    <w:p w14:paraId="61782BC9" w14:textId="77777777" w:rsidR="000F6E7C" w:rsidRDefault="000F6E7C" w:rsidP="006B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8B5A7" w14:textId="77777777" w:rsidR="000F6E7C" w:rsidRDefault="000F6E7C" w:rsidP="006B1077">
      <w:r>
        <w:separator/>
      </w:r>
    </w:p>
  </w:footnote>
  <w:footnote w:type="continuationSeparator" w:id="0">
    <w:p w14:paraId="2D40FA87" w14:textId="77777777" w:rsidR="000F6E7C" w:rsidRDefault="000F6E7C" w:rsidP="006B1077">
      <w:r>
        <w:continuationSeparator/>
      </w:r>
    </w:p>
  </w:footnote>
  <w:footnote w:id="1">
    <w:p w14:paraId="2F1AC971" w14:textId="77777777" w:rsidR="000F6E7C" w:rsidRPr="003E60AB" w:rsidRDefault="000F6E7C">
      <w:pPr>
        <w:pStyle w:val="FootnoteText"/>
        <w:rPr>
          <w:lang w:val="en-US"/>
        </w:rPr>
      </w:pPr>
      <w:r>
        <w:rPr>
          <w:rStyle w:val="FootnoteReference"/>
        </w:rPr>
        <w:footnoteRef/>
      </w:r>
      <w:r>
        <w:t xml:space="preserve"> </w:t>
      </w:r>
      <w:hyperlink r:id="rId1" w:history="1">
        <w:r w:rsidRPr="00B816FD">
          <w:rPr>
            <w:rStyle w:val="Hyperlink"/>
          </w:rPr>
          <w:t>https://corporateeurope.org/international-trade/2015/07/ttip-corporate-lobbying-paradise</w:t>
        </w:r>
      </w:hyperlink>
      <w:r>
        <w:t xml:space="preserve"> </w:t>
      </w:r>
    </w:p>
  </w:footnote>
  <w:footnote w:id="2">
    <w:p w14:paraId="31AEB1CB" w14:textId="77777777" w:rsidR="000F6E7C" w:rsidRPr="005125A0" w:rsidRDefault="000F6E7C">
      <w:pPr>
        <w:pStyle w:val="FootnoteText"/>
        <w:rPr>
          <w:lang w:val="en-US"/>
        </w:rPr>
      </w:pPr>
      <w:r>
        <w:rPr>
          <w:rStyle w:val="FootnoteReference"/>
        </w:rPr>
        <w:footnoteRef/>
      </w:r>
      <w:r>
        <w:t xml:space="preserve"> </w:t>
      </w:r>
      <w:r w:rsidRPr="007B1859">
        <w:t>https://www.opendemocracy.net/ournhs/jan-savage-gay-lee/brexit-or-no-brexit-so-called-trade-deals-still-threaten-our-nhs</w:t>
      </w:r>
    </w:p>
  </w:footnote>
  <w:footnote w:id="3">
    <w:p w14:paraId="15E78600" w14:textId="77777777" w:rsidR="000F6E7C" w:rsidRPr="00971D23" w:rsidRDefault="000F6E7C">
      <w:pPr>
        <w:pStyle w:val="FootnoteText"/>
        <w:rPr>
          <w:lang w:val="en-US"/>
        </w:rPr>
      </w:pPr>
      <w:r>
        <w:rPr>
          <w:rStyle w:val="FootnoteReference"/>
        </w:rPr>
        <w:footnoteRef/>
      </w:r>
      <w:r>
        <w:t xml:space="preserve"> </w:t>
      </w:r>
      <w:hyperlink r:id="rId2" w:history="1">
        <w:r w:rsidRPr="00B816FD">
          <w:rPr>
            <w:rStyle w:val="Hyperlink"/>
          </w:rPr>
          <w:t>http://ecologic.eu/10987</w:t>
        </w:r>
      </w:hyperlink>
      <w:r>
        <w:t xml:space="preserve"> </w:t>
      </w:r>
    </w:p>
  </w:footnote>
  <w:footnote w:id="4">
    <w:p w14:paraId="6E0C6BE3" w14:textId="77777777" w:rsidR="000F6E7C" w:rsidRPr="00585D37" w:rsidRDefault="000F6E7C" w:rsidP="004C1707">
      <w:pPr>
        <w:pStyle w:val="FootnoteText"/>
        <w:rPr>
          <w:sz w:val="18"/>
          <w:szCs w:val="18"/>
          <w:lang w:val="en-US"/>
        </w:rPr>
      </w:pPr>
      <w:r>
        <w:rPr>
          <w:rStyle w:val="FootnoteReference"/>
        </w:rPr>
        <w:footnoteRef/>
      </w:r>
      <w:r>
        <w:t xml:space="preserve"> </w:t>
      </w:r>
      <w:hyperlink r:id="rId3" w:history="1">
        <w:r w:rsidRPr="00585D37">
          <w:rPr>
            <w:rFonts w:ascii="Georgia" w:hAnsi="Georgia" w:cs="Georgia"/>
            <w:color w:val="5F1D87"/>
            <w:sz w:val="18"/>
            <w:szCs w:val="18"/>
            <w:u w:val="single" w:color="5F1D87"/>
            <w:lang w:val="en-US"/>
          </w:rPr>
          <w:t>http://www.ase.tufts.edu/gdae/policy_research/ceta_simulations.html</w:t>
        </w:r>
      </w:hyperlink>
    </w:p>
  </w:footnote>
  <w:footnote w:id="5">
    <w:p w14:paraId="6D93E503" w14:textId="77777777" w:rsidR="000F6E7C" w:rsidRPr="00585D37" w:rsidRDefault="000F6E7C" w:rsidP="00CF0E3A">
      <w:pPr>
        <w:pStyle w:val="FootnoteText"/>
        <w:rPr>
          <w:sz w:val="18"/>
          <w:szCs w:val="18"/>
          <w:lang w:val="en-US"/>
        </w:rPr>
      </w:pPr>
      <w:r w:rsidRPr="00585D37">
        <w:rPr>
          <w:rStyle w:val="FootnoteReference"/>
          <w:sz w:val="18"/>
          <w:szCs w:val="18"/>
        </w:rPr>
        <w:footnoteRef/>
      </w:r>
      <w:r w:rsidRPr="00585D37">
        <w:rPr>
          <w:sz w:val="18"/>
          <w:szCs w:val="18"/>
        </w:rPr>
        <w:t xml:space="preserve"> </w:t>
      </w:r>
      <w:hyperlink r:id="rId4" w:history="1">
        <w:r w:rsidRPr="00585D37">
          <w:rPr>
            <w:rFonts w:cs="Georgia"/>
            <w:color w:val="094EC0"/>
            <w:sz w:val="18"/>
            <w:szCs w:val="18"/>
            <w:u w:val="single" w:color="094EC0"/>
            <w:lang w:val="en-US"/>
          </w:rPr>
          <w:t>https://corporateeurope.org/sites/default/files/attachments/public-services-under-attack.pdf</w:t>
        </w:r>
      </w:hyperlink>
      <w:r w:rsidRPr="00585D37">
        <w:rPr>
          <w:rFonts w:cs="Georgia"/>
          <w:color w:val="094EC0"/>
          <w:sz w:val="18"/>
          <w:szCs w:val="18"/>
          <w:u w:val="single" w:color="094EC0"/>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85200"/>
    <w:multiLevelType w:val="hybridMultilevel"/>
    <w:tmpl w:val="251AD6A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16920"/>
    <w:multiLevelType w:val="hybridMultilevel"/>
    <w:tmpl w:val="7D326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C5BB4"/>
    <w:multiLevelType w:val="hybridMultilevel"/>
    <w:tmpl w:val="DB9A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D53D1"/>
    <w:multiLevelType w:val="hybridMultilevel"/>
    <w:tmpl w:val="F762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AE4C01"/>
    <w:multiLevelType w:val="hybridMultilevel"/>
    <w:tmpl w:val="ED627D92"/>
    <w:lvl w:ilvl="0" w:tplc="F7E2523A">
      <w:start w:val="4"/>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C71B6"/>
    <w:multiLevelType w:val="hybridMultilevel"/>
    <w:tmpl w:val="489C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343D4"/>
    <w:multiLevelType w:val="hybridMultilevel"/>
    <w:tmpl w:val="7B16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CF31A9"/>
    <w:multiLevelType w:val="hybridMultilevel"/>
    <w:tmpl w:val="25524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8"/>
  </w:num>
  <w:num w:numId="5">
    <w:abstractNumId w:val="7"/>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26"/>
    <w:rsid w:val="00057BD8"/>
    <w:rsid w:val="0007029B"/>
    <w:rsid w:val="000A4B0B"/>
    <w:rsid w:val="000F6E7C"/>
    <w:rsid w:val="00111EDC"/>
    <w:rsid w:val="001213F4"/>
    <w:rsid w:val="001B2A4B"/>
    <w:rsid w:val="00346992"/>
    <w:rsid w:val="00360426"/>
    <w:rsid w:val="00370136"/>
    <w:rsid w:val="003B578A"/>
    <w:rsid w:val="003E60AB"/>
    <w:rsid w:val="004402C4"/>
    <w:rsid w:val="004739A3"/>
    <w:rsid w:val="004C1707"/>
    <w:rsid w:val="004F564F"/>
    <w:rsid w:val="005125A0"/>
    <w:rsid w:val="00556B09"/>
    <w:rsid w:val="00565FFF"/>
    <w:rsid w:val="00571620"/>
    <w:rsid w:val="005D6AA9"/>
    <w:rsid w:val="00615C55"/>
    <w:rsid w:val="006A41C9"/>
    <w:rsid w:val="006B1077"/>
    <w:rsid w:val="007015BA"/>
    <w:rsid w:val="00704505"/>
    <w:rsid w:val="00705C0C"/>
    <w:rsid w:val="00715D87"/>
    <w:rsid w:val="00742DAA"/>
    <w:rsid w:val="00784D70"/>
    <w:rsid w:val="00794A63"/>
    <w:rsid w:val="007B1859"/>
    <w:rsid w:val="007C30D9"/>
    <w:rsid w:val="008B019B"/>
    <w:rsid w:val="008B4666"/>
    <w:rsid w:val="009430EC"/>
    <w:rsid w:val="0095710B"/>
    <w:rsid w:val="00971D23"/>
    <w:rsid w:val="00984870"/>
    <w:rsid w:val="00A6731E"/>
    <w:rsid w:val="00B04C29"/>
    <w:rsid w:val="00B374DE"/>
    <w:rsid w:val="00BF16DC"/>
    <w:rsid w:val="00C112B3"/>
    <w:rsid w:val="00C24A65"/>
    <w:rsid w:val="00C25EE8"/>
    <w:rsid w:val="00C532A9"/>
    <w:rsid w:val="00CC1F96"/>
    <w:rsid w:val="00CF0E3A"/>
    <w:rsid w:val="00D21B67"/>
    <w:rsid w:val="00D35CDC"/>
    <w:rsid w:val="00DD1625"/>
    <w:rsid w:val="00DF108A"/>
    <w:rsid w:val="00E83559"/>
    <w:rsid w:val="00EE1BD6"/>
    <w:rsid w:val="00F76AF4"/>
    <w:rsid w:val="00F863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CDC"/>
    <w:pPr>
      <w:ind w:left="720"/>
      <w:contextualSpacing/>
    </w:pPr>
  </w:style>
  <w:style w:type="paragraph" w:styleId="FootnoteText">
    <w:name w:val="footnote text"/>
    <w:basedOn w:val="Normal"/>
    <w:link w:val="FootnoteTextChar"/>
    <w:uiPriority w:val="99"/>
    <w:unhideWhenUsed/>
    <w:rsid w:val="006B1077"/>
  </w:style>
  <w:style w:type="character" w:customStyle="1" w:styleId="FootnoteTextChar">
    <w:name w:val="Footnote Text Char"/>
    <w:basedOn w:val="DefaultParagraphFont"/>
    <w:link w:val="FootnoteText"/>
    <w:uiPriority w:val="99"/>
    <w:rsid w:val="006B1077"/>
    <w:rPr>
      <w:lang w:val="en-GB"/>
    </w:rPr>
  </w:style>
  <w:style w:type="character" w:styleId="FootnoteReference">
    <w:name w:val="footnote reference"/>
    <w:basedOn w:val="DefaultParagraphFont"/>
    <w:uiPriority w:val="99"/>
    <w:unhideWhenUsed/>
    <w:rsid w:val="006B1077"/>
    <w:rPr>
      <w:vertAlign w:val="superscript"/>
    </w:rPr>
  </w:style>
  <w:style w:type="character" w:styleId="Hyperlink">
    <w:name w:val="Hyperlink"/>
    <w:basedOn w:val="DefaultParagraphFont"/>
    <w:uiPriority w:val="99"/>
    <w:unhideWhenUsed/>
    <w:rsid w:val="00CC1F96"/>
    <w:rPr>
      <w:color w:val="0000FF" w:themeColor="hyperlink"/>
      <w:u w:val="single"/>
    </w:rPr>
  </w:style>
  <w:style w:type="paragraph" w:styleId="NormalWeb">
    <w:name w:val="Normal (Web)"/>
    <w:basedOn w:val="Normal"/>
    <w:uiPriority w:val="99"/>
    <w:unhideWhenUsed/>
    <w:rsid w:val="009430E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83559"/>
    <w:rPr>
      <w:rFonts w:ascii="Lucida Grande" w:hAnsi="Lucida Grande"/>
      <w:sz w:val="18"/>
      <w:szCs w:val="18"/>
    </w:rPr>
  </w:style>
  <w:style w:type="character" w:customStyle="1" w:styleId="BalloonTextChar">
    <w:name w:val="Balloon Text Char"/>
    <w:basedOn w:val="DefaultParagraphFont"/>
    <w:link w:val="BalloonText"/>
    <w:uiPriority w:val="99"/>
    <w:semiHidden/>
    <w:rsid w:val="00E83559"/>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CDC"/>
    <w:pPr>
      <w:ind w:left="720"/>
      <w:contextualSpacing/>
    </w:pPr>
  </w:style>
  <w:style w:type="paragraph" w:styleId="FootnoteText">
    <w:name w:val="footnote text"/>
    <w:basedOn w:val="Normal"/>
    <w:link w:val="FootnoteTextChar"/>
    <w:uiPriority w:val="99"/>
    <w:unhideWhenUsed/>
    <w:rsid w:val="006B1077"/>
  </w:style>
  <w:style w:type="character" w:customStyle="1" w:styleId="FootnoteTextChar">
    <w:name w:val="Footnote Text Char"/>
    <w:basedOn w:val="DefaultParagraphFont"/>
    <w:link w:val="FootnoteText"/>
    <w:uiPriority w:val="99"/>
    <w:rsid w:val="006B1077"/>
    <w:rPr>
      <w:lang w:val="en-GB"/>
    </w:rPr>
  </w:style>
  <w:style w:type="character" w:styleId="FootnoteReference">
    <w:name w:val="footnote reference"/>
    <w:basedOn w:val="DefaultParagraphFont"/>
    <w:uiPriority w:val="99"/>
    <w:unhideWhenUsed/>
    <w:rsid w:val="006B1077"/>
    <w:rPr>
      <w:vertAlign w:val="superscript"/>
    </w:rPr>
  </w:style>
  <w:style w:type="character" w:styleId="Hyperlink">
    <w:name w:val="Hyperlink"/>
    <w:basedOn w:val="DefaultParagraphFont"/>
    <w:uiPriority w:val="99"/>
    <w:unhideWhenUsed/>
    <w:rsid w:val="00CC1F96"/>
    <w:rPr>
      <w:color w:val="0000FF" w:themeColor="hyperlink"/>
      <w:u w:val="single"/>
    </w:rPr>
  </w:style>
  <w:style w:type="paragraph" w:styleId="NormalWeb">
    <w:name w:val="Normal (Web)"/>
    <w:basedOn w:val="Normal"/>
    <w:uiPriority w:val="99"/>
    <w:unhideWhenUsed/>
    <w:rsid w:val="009430E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83559"/>
    <w:rPr>
      <w:rFonts w:ascii="Lucida Grande" w:hAnsi="Lucida Grande"/>
      <w:sz w:val="18"/>
      <w:szCs w:val="18"/>
    </w:rPr>
  </w:style>
  <w:style w:type="character" w:customStyle="1" w:styleId="BalloonTextChar">
    <w:name w:val="Balloon Text Char"/>
    <w:basedOn w:val="DefaultParagraphFont"/>
    <w:link w:val="BalloonText"/>
    <w:uiPriority w:val="99"/>
    <w:semiHidden/>
    <w:rsid w:val="00E83559"/>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7160">
      <w:bodyDiv w:val="1"/>
      <w:marLeft w:val="0"/>
      <w:marRight w:val="0"/>
      <w:marTop w:val="0"/>
      <w:marBottom w:val="0"/>
      <w:divBdr>
        <w:top w:val="none" w:sz="0" w:space="0" w:color="auto"/>
        <w:left w:val="none" w:sz="0" w:space="0" w:color="auto"/>
        <w:bottom w:val="none" w:sz="0" w:space="0" w:color="auto"/>
        <w:right w:val="none" w:sz="0" w:space="0" w:color="auto"/>
      </w:divBdr>
      <w:divsChild>
        <w:div w:id="255286591">
          <w:marLeft w:val="0"/>
          <w:marRight w:val="0"/>
          <w:marTop w:val="0"/>
          <w:marBottom w:val="0"/>
          <w:divBdr>
            <w:top w:val="none" w:sz="0" w:space="0" w:color="auto"/>
            <w:left w:val="none" w:sz="0" w:space="0" w:color="auto"/>
            <w:bottom w:val="none" w:sz="0" w:space="0" w:color="auto"/>
            <w:right w:val="none" w:sz="0" w:space="0" w:color="auto"/>
          </w:divBdr>
          <w:divsChild>
            <w:div w:id="2132280881">
              <w:marLeft w:val="0"/>
              <w:marRight w:val="0"/>
              <w:marTop w:val="0"/>
              <w:marBottom w:val="0"/>
              <w:divBdr>
                <w:top w:val="none" w:sz="0" w:space="0" w:color="auto"/>
                <w:left w:val="none" w:sz="0" w:space="0" w:color="auto"/>
                <w:bottom w:val="none" w:sz="0" w:space="0" w:color="auto"/>
                <w:right w:val="none" w:sz="0" w:space="0" w:color="auto"/>
              </w:divBdr>
              <w:divsChild>
                <w:div w:id="8804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ase.tufts.edu/gdae/policy_research/ceta_simulations.html" TargetMode="External"/><Relationship Id="rId4" Type="http://schemas.openxmlformats.org/officeDocument/2006/relationships/hyperlink" Target="https://corporateeurope.org/sites/default/files/attachments/public-services-under-attack.pdf" TargetMode="External"/><Relationship Id="rId1" Type="http://schemas.openxmlformats.org/officeDocument/2006/relationships/hyperlink" Target="https://corporateeurope.org/international-trade/2015/07/ttip-corporate-lobbying-paradise" TargetMode="External"/><Relationship Id="rId2" Type="http://schemas.openxmlformats.org/officeDocument/2006/relationships/hyperlink" Target="http://ecologic.eu/10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1180</Words>
  <Characters>6729</Characters>
  <Application>Microsoft Macintosh Word</Application>
  <DocSecurity>0</DocSecurity>
  <Lines>56</Lines>
  <Paragraphs>15</Paragraphs>
  <ScaleCrop>false</ScaleCrop>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dcterms:created xsi:type="dcterms:W3CDTF">2017-01-07T19:08:00Z</dcterms:created>
  <dcterms:modified xsi:type="dcterms:W3CDTF">2017-01-07T23:16:00Z</dcterms:modified>
</cp:coreProperties>
</file>