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F8EB" w14:textId="77777777" w:rsidR="0051651A" w:rsidRPr="00A64D5D" w:rsidRDefault="0051651A">
      <w:pPr>
        <w:rPr>
          <w:rFonts w:eastAsia="Times New Roman" w:cs="Arial"/>
          <w:color w:val="4D4D4D"/>
          <w:sz w:val="22"/>
          <w:szCs w:val="22"/>
          <w:shd w:val="clear" w:color="auto" w:fill="F8F6FC"/>
        </w:rPr>
      </w:pPr>
    </w:p>
    <w:p w14:paraId="68A99919" w14:textId="77777777" w:rsidR="0051651A" w:rsidRPr="00A64D5D" w:rsidRDefault="0051651A">
      <w:pPr>
        <w:rPr>
          <w:rFonts w:eastAsia="Times New Roman" w:cs="Times New Roman"/>
          <w:sz w:val="22"/>
          <w:szCs w:val="22"/>
        </w:rPr>
      </w:pPr>
    </w:p>
    <w:p w14:paraId="4D634DD7" w14:textId="77777777" w:rsidR="0051651A" w:rsidRPr="00A64D5D" w:rsidRDefault="0051651A" w:rsidP="0051651A">
      <w:pPr>
        <w:jc w:val="center"/>
        <w:rPr>
          <w:rFonts w:eastAsia="Times New Roman" w:cs="Arial"/>
          <w:b/>
          <w:color w:val="4D4D4D"/>
          <w:sz w:val="22"/>
          <w:szCs w:val="22"/>
          <w:shd w:val="clear" w:color="auto" w:fill="F8F6FC"/>
        </w:rPr>
      </w:pPr>
      <w:r w:rsidRPr="00A64D5D">
        <w:rPr>
          <w:rFonts w:eastAsia="Times New Roman" w:cs="Arial"/>
          <w:b/>
          <w:color w:val="4D4D4D"/>
          <w:sz w:val="22"/>
          <w:szCs w:val="22"/>
          <w:shd w:val="clear" w:color="auto" w:fill="F8F6FC"/>
        </w:rPr>
        <w:t>KONP submission to Health and Social Care Committee’s Inquiry into the Government’s White Paper proposals</w:t>
      </w:r>
    </w:p>
    <w:p w14:paraId="75AE114F" w14:textId="77777777" w:rsidR="0051651A" w:rsidRPr="00A64D5D" w:rsidRDefault="0051651A">
      <w:pPr>
        <w:rPr>
          <w:rFonts w:eastAsia="Times New Roman" w:cs="Times New Roman"/>
          <w:sz w:val="22"/>
          <w:szCs w:val="22"/>
        </w:rPr>
      </w:pPr>
    </w:p>
    <w:p w14:paraId="31DB0C98" w14:textId="77777777" w:rsidR="00ED2C95" w:rsidRPr="00A64D5D" w:rsidRDefault="00ED2C95">
      <w:pPr>
        <w:rPr>
          <w:rFonts w:eastAsia="Times New Roman" w:cs="Times New Roman"/>
          <w:sz w:val="22"/>
          <w:szCs w:val="22"/>
        </w:rPr>
      </w:pPr>
    </w:p>
    <w:p w14:paraId="3B7EF7AA" w14:textId="09825011" w:rsidR="000555D7" w:rsidRPr="00A64D5D" w:rsidRDefault="00C653A4">
      <w:pPr>
        <w:rPr>
          <w:b/>
          <w:sz w:val="22"/>
          <w:szCs w:val="22"/>
        </w:rPr>
      </w:pPr>
      <w:r>
        <w:rPr>
          <w:b/>
          <w:sz w:val="22"/>
          <w:szCs w:val="22"/>
        </w:rPr>
        <w:t xml:space="preserve">1. </w:t>
      </w:r>
      <w:r w:rsidR="0051651A" w:rsidRPr="00A64D5D">
        <w:rPr>
          <w:b/>
          <w:sz w:val="22"/>
          <w:szCs w:val="22"/>
        </w:rPr>
        <w:t>Introduction</w:t>
      </w:r>
    </w:p>
    <w:p w14:paraId="10F00370" w14:textId="77777777" w:rsidR="0051651A" w:rsidRPr="00A64D5D" w:rsidRDefault="0051651A" w:rsidP="000555D7">
      <w:pPr>
        <w:rPr>
          <w:sz w:val="22"/>
          <w:szCs w:val="22"/>
        </w:rPr>
      </w:pPr>
    </w:p>
    <w:p w14:paraId="62C08886" w14:textId="6746411D" w:rsidR="000555D7" w:rsidRPr="00A64D5D" w:rsidRDefault="00C653A4" w:rsidP="000555D7">
      <w:pPr>
        <w:rPr>
          <w:sz w:val="22"/>
          <w:szCs w:val="22"/>
        </w:rPr>
      </w:pPr>
      <w:r>
        <w:rPr>
          <w:sz w:val="22"/>
          <w:szCs w:val="22"/>
        </w:rPr>
        <w:t xml:space="preserve">1.1 </w:t>
      </w:r>
      <w:r w:rsidR="00E023FF" w:rsidRPr="00A64D5D">
        <w:rPr>
          <w:sz w:val="22"/>
          <w:szCs w:val="22"/>
        </w:rPr>
        <w:t xml:space="preserve">Keep Our NHS Public (KONP) is </w:t>
      </w:r>
      <w:r w:rsidR="00E023FF" w:rsidRPr="00A64D5D">
        <w:rPr>
          <w:rFonts w:eastAsia="Times New Roman" w:cs="Times New Roman"/>
          <w:sz w:val="22"/>
          <w:szCs w:val="22"/>
          <w:shd w:val="clear" w:color="auto" w:fill="FFFFFF"/>
        </w:rPr>
        <w:t>a civil society group</w:t>
      </w:r>
      <w:r w:rsidR="00E023FF" w:rsidRPr="00A64D5D">
        <w:rPr>
          <w:rFonts w:eastAsia="Times New Roman" w:cs="Times New Roman"/>
          <w:sz w:val="22"/>
          <w:szCs w:val="22"/>
        </w:rPr>
        <w:t xml:space="preserve"> </w:t>
      </w:r>
      <w:r w:rsidR="00E023FF" w:rsidRPr="00A64D5D">
        <w:rPr>
          <w:rFonts w:eastAsia="Times New Roman" w:cs="Times New Roman"/>
          <w:sz w:val="22"/>
          <w:szCs w:val="22"/>
          <w:shd w:val="clear" w:color="auto" w:fill="FFFFFF"/>
        </w:rPr>
        <w:t>concerned to restore and protect the N</w:t>
      </w:r>
      <w:r w:rsidR="00C64994">
        <w:rPr>
          <w:rFonts w:eastAsia="Times New Roman" w:cs="Times New Roman"/>
          <w:sz w:val="22"/>
          <w:szCs w:val="22"/>
          <w:shd w:val="clear" w:color="auto" w:fill="FFFFFF"/>
        </w:rPr>
        <w:t xml:space="preserve">HS as a comprehensive, publicly </w:t>
      </w:r>
      <w:r w:rsidR="00E023FF" w:rsidRPr="00A64D5D">
        <w:rPr>
          <w:rFonts w:eastAsia="Times New Roman" w:cs="Times New Roman"/>
          <w:sz w:val="22"/>
          <w:szCs w:val="22"/>
          <w:shd w:val="clear" w:color="auto" w:fill="FFFFFF"/>
        </w:rPr>
        <w:t xml:space="preserve">provided and publicly accountable health service, funded from public taxation and free at the point of use. </w:t>
      </w:r>
    </w:p>
    <w:p w14:paraId="0F42564C" w14:textId="77777777" w:rsidR="000555D7" w:rsidRPr="00A64D5D" w:rsidRDefault="000555D7" w:rsidP="000555D7">
      <w:pPr>
        <w:rPr>
          <w:sz w:val="22"/>
          <w:szCs w:val="22"/>
        </w:rPr>
      </w:pPr>
    </w:p>
    <w:p w14:paraId="2B057EE1" w14:textId="0FE95706" w:rsidR="00570128" w:rsidRDefault="00C653A4" w:rsidP="00570128">
      <w:pPr>
        <w:rPr>
          <w:rFonts w:eastAsia="Times New Roman" w:cs="Arial"/>
          <w:iCs/>
          <w:color w:val="4D4D4D"/>
          <w:sz w:val="22"/>
          <w:szCs w:val="22"/>
        </w:rPr>
      </w:pPr>
      <w:r>
        <w:rPr>
          <w:sz w:val="22"/>
          <w:szCs w:val="22"/>
        </w:rPr>
        <w:t xml:space="preserve">1.2 </w:t>
      </w:r>
      <w:r w:rsidR="000555D7" w:rsidRPr="00A64D5D">
        <w:rPr>
          <w:sz w:val="22"/>
          <w:szCs w:val="22"/>
        </w:rPr>
        <w:t xml:space="preserve">We are grateful for the opportunity to present evidence on the proposals </w:t>
      </w:r>
      <w:r w:rsidR="00C64994">
        <w:rPr>
          <w:sz w:val="22"/>
          <w:szCs w:val="22"/>
        </w:rPr>
        <w:t xml:space="preserve">put forward in </w:t>
      </w:r>
      <w:r w:rsidR="000555D7" w:rsidRPr="00A64D5D">
        <w:rPr>
          <w:sz w:val="22"/>
          <w:szCs w:val="22"/>
        </w:rPr>
        <w:t xml:space="preserve">the </w:t>
      </w:r>
      <w:r w:rsidR="002D3AE3" w:rsidRPr="00A64D5D">
        <w:rPr>
          <w:sz w:val="22"/>
          <w:szCs w:val="22"/>
        </w:rPr>
        <w:t xml:space="preserve">Government’s </w:t>
      </w:r>
      <w:r w:rsidR="00C75D7B" w:rsidRPr="00A64D5D">
        <w:rPr>
          <w:sz w:val="22"/>
          <w:szCs w:val="22"/>
        </w:rPr>
        <w:t>White Paper</w:t>
      </w:r>
      <w:r w:rsidR="002D3AE3" w:rsidRPr="00A64D5D">
        <w:rPr>
          <w:sz w:val="22"/>
          <w:szCs w:val="22"/>
        </w:rPr>
        <w:t xml:space="preserve"> </w:t>
      </w:r>
      <w:r w:rsidR="00C75D7B" w:rsidRPr="00A64D5D">
        <w:rPr>
          <w:sz w:val="22"/>
          <w:szCs w:val="22"/>
        </w:rPr>
        <w:t>“</w:t>
      </w:r>
      <w:r w:rsidR="002D3AE3" w:rsidRPr="00C64994">
        <w:rPr>
          <w:rFonts w:eastAsia="Times New Roman" w:cs="Arial"/>
          <w:i/>
          <w:iCs/>
          <w:color w:val="4D4D4D"/>
          <w:sz w:val="22"/>
          <w:szCs w:val="22"/>
        </w:rPr>
        <w:t>Integration and Innovation: working together to improve health and social care</w:t>
      </w:r>
      <w:r w:rsidR="00C75D7B" w:rsidRPr="00A64D5D">
        <w:rPr>
          <w:rFonts w:eastAsia="Times New Roman" w:cs="Arial"/>
          <w:iCs/>
          <w:color w:val="4D4D4D"/>
          <w:sz w:val="22"/>
          <w:szCs w:val="22"/>
        </w:rPr>
        <w:t>”</w:t>
      </w:r>
      <w:r w:rsidR="00570128">
        <w:rPr>
          <w:rFonts w:eastAsia="Times New Roman" w:cs="Arial"/>
          <w:iCs/>
          <w:color w:val="4D4D4D"/>
          <w:sz w:val="22"/>
          <w:szCs w:val="22"/>
        </w:rPr>
        <w:t xml:space="preserve">. We have a </w:t>
      </w:r>
      <w:r w:rsidR="00EA47E7">
        <w:rPr>
          <w:rFonts w:eastAsia="Times New Roman" w:cs="Arial"/>
          <w:iCs/>
          <w:color w:val="4D4D4D"/>
          <w:sz w:val="22"/>
          <w:szCs w:val="22"/>
        </w:rPr>
        <w:t xml:space="preserve">number </w:t>
      </w:r>
      <w:r w:rsidR="00BF344A" w:rsidRPr="00A64D5D">
        <w:rPr>
          <w:rFonts w:eastAsia="Times New Roman" w:cs="Arial"/>
          <w:iCs/>
          <w:color w:val="4D4D4D"/>
          <w:sz w:val="22"/>
          <w:szCs w:val="22"/>
        </w:rPr>
        <w:t>of concerns about the</w:t>
      </w:r>
      <w:r w:rsidR="00570128">
        <w:rPr>
          <w:rFonts w:eastAsia="Times New Roman" w:cs="Arial"/>
          <w:iCs/>
          <w:color w:val="4D4D4D"/>
          <w:sz w:val="22"/>
          <w:szCs w:val="22"/>
        </w:rPr>
        <w:t xml:space="preserve">se </w:t>
      </w:r>
      <w:r w:rsidR="006A28D7">
        <w:rPr>
          <w:rFonts w:eastAsia="Times New Roman" w:cs="Arial"/>
          <w:iCs/>
          <w:color w:val="4D4D4D"/>
          <w:sz w:val="22"/>
          <w:szCs w:val="22"/>
        </w:rPr>
        <w:t>proposals</w:t>
      </w:r>
      <w:r w:rsidR="00601CF9">
        <w:rPr>
          <w:rFonts w:eastAsia="Times New Roman" w:cs="Arial"/>
          <w:iCs/>
          <w:color w:val="4D4D4D"/>
          <w:sz w:val="22"/>
          <w:szCs w:val="22"/>
        </w:rPr>
        <w:t>, namely</w:t>
      </w:r>
      <w:r w:rsidR="00570128">
        <w:rPr>
          <w:rFonts w:eastAsia="Times New Roman" w:cs="Arial"/>
          <w:iCs/>
          <w:color w:val="4D4D4D"/>
          <w:sz w:val="22"/>
          <w:szCs w:val="22"/>
        </w:rPr>
        <w:t>:</w:t>
      </w:r>
    </w:p>
    <w:p w14:paraId="377FED43" w14:textId="77777777" w:rsidR="00570128" w:rsidRDefault="00570128" w:rsidP="00570128">
      <w:pPr>
        <w:rPr>
          <w:rFonts w:eastAsia="Times New Roman" w:cs="Arial"/>
          <w:iCs/>
          <w:color w:val="4D4D4D"/>
          <w:sz w:val="22"/>
          <w:szCs w:val="22"/>
        </w:rPr>
      </w:pPr>
    </w:p>
    <w:p w14:paraId="68450C89" w14:textId="3E1EBA83" w:rsidR="00BF344A" w:rsidRPr="00570128" w:rsidRDefault="00BF344A" w:rsidP="00601CF9">
      <w:pPr>
        <w:pStyle w:val="ListParagraph"/>
        <w:numPr>
          <w:ilvl w:val="0"/>
          <w:numId w:val="12"/>
        </w:numPr>
        <w:rPr>
          <w:sz w:val="22"/>
          <w:szCs w:val="22"/>
        </w:rPr>
      </w:pPr>
      <w:r w:rsidRPr="00570128">
        <w:rPr>
          <w:sz w:val="22"/>
          <w:szCs w:val="22"/>
        </w:rPr>
        <w:t>The risk of a democratic deficit;</w:t>
      </w:r>
    </w:p>
    <w:p w14:paraId="32B0C478" w14:textId="566E8772" w:rsidR="00BF344A" w:rsidRPr="00570128" w:rsidRDefault="00BF344A" w:rsidP="00601CF9">
      <w:pPr>
        <w:pStyle w:val="ListParagraph"/>
        <w:numPr>
          <w:ilvl w:val="0"/>
          <w:numId w:val="12"/>
        </w:numPr>
        <w:rPr>
          <w:sz w:val="22"/>
          <w:szCs w:val="22"/>
        </w:rPr>
      </w:pPr>
      <w:r w:rsidRPr="00570128">
        <w:rPr>
          <w:sz w:val="22"/>
          <w:szCs w:val="22"/>
        </w:rPr>
        <w:t>Increased central control despite assurances of more local decision making;</w:t>
      </w:r>
    </w:p>
    <w:p w14:paraId="1768CEFC" w14:textId="13565729" w:rsidR="00BF344A" w:rsidRPr="00A64D5D" w:rsidRDefault="00BF344A" w:rsidP="00601CF9">
      <w:pPr>
        <w:pStyle w:val="ListParagraph"/>
        <w:numPr>
          <w:ilvl w:val="0"/>
          <w:numId w:val="12"/>
        </w:numPr>
        <w:rPr>
          <w:sz w:val="22"/>
          <w:szCs w:val="22"/>
        </w:rPr>
      </w:pPr>
      <w:r w:rsidRPr="00A64D5D">
        <w:rPr>
          <w:sz w:val="22"/>
          <w:szCs w:val="22"/>
        </w:rPr>
        <w:t xml:space="preserve">The risk of </w:t>
      </w:r>
      <w:r w:rsidR="00570128">
        <w:rPr>
          <w:sz w:val="22"/>
          <w:szCs w:val="22"/>
        </w:rPr>
        <w:t>prioritising</w:t>
      </w:r>
      <w:r w:rsidRPr="00A64D5D">
        <w:rPr>
          <w:sz w:val="22"/>
          <w:szCs w:val="22"/>
        </w:rPr>
        <w:t xml:space="preserve"> constraint over collaboration; </w:t>
      </w:r>
    </w:p>
    <w:p w14:paraId="70946C82" w14:textId="098C0834" w:rsidR="00BF344A" w:rsidRPr="00A64D5D" w:rsidRDefault="00BF344A" w:rsidP="00601CF9">
      <w:pPr>
        <w:pStyle w:val="ListParagraph"/>
        <w:numPr>
          <w:ilvl w:val="0"/>
          <w:numId w:val="12"/>
        </w:numPr>
        <w:rPr>
          <w:sz w:val="22"/>
          <w:szCs w:val="22"/>
        </w:rPr>
      </w:pPr>
      <w:r w:rsidRPr="00A64D5D">
        <w:rPr>
          <w:sz w:val="22"/>
          <w:szCs w:val="22"/>
        </w:rPr>
        <w:t>A shift of focus for the NHS from the provision of universal, comprehensive care towards ‘demand’ management;</w:t>
      </w:r>
    </w:p>
    <w:p w14:paraId="12475AAE" w14:textId="153C3BD7" w:rsidR="00BF344A" w:rsidRPr="00A64D5D" w:rsidRDefault="00BF344A" w:rsidP="00601CF9">
      <w:pPr>
        <w:pStyle w:val="ListParagraph"/>
        <w:numPr>
          <w:ilvl w:val="0"/>
          <w:numId w:val="12"/>
        </w:numPr>
        <w:rPr>
          <w:sz w:val="22"/>
          <w:szCs w:val="22"/>
        </w:rPr>
      </w:pPr>
      <w:r w:rsidRPr="00A64D5D">
        <w:rPr>
          <w:sz w:val="22"/>
          <w:szCs w:val="22"/>
        </w:rPr>
        <w:t xml:space="preserve">The risk that mere lip service will be given to </w:t>
      </w:r>
      <w:r w:rsidR="00570128">
        <w:rPr>
          <w:sz w:val="22"/>
          <w:szCs w:val="22"/>
        </w:rPr>
        <w:t xml:space="preserve">redressing </w:t>
      </w:r>
      <w:r w:rsidRPr="00A64D5D">
        <w:rPr>
          <w:sz w:val="22"/>
          <w:szCs w:val="22"/>
        </w:rPr>
        <w:t>health inequalities;</w:t>
      </w:r>
    </w:p>
    <w:p w14:paraId="61917CBE" w14:textId="53A9705C" w:rsidR="00BF344A" w:rsidRPr="00A64D5D" w:rsidRDefault="00BF344A" w:rsidP="00601CF9">
      <w:pPr>
        <w:pStyle w:val="ListParagraph"/>
        <w:numPr>
          <w:ilvl w:val="0"/>
          <w:numId w:val="12"/>
        </w:numPr>
        <w:rPr>
          <w:sz w:val="22"/>
          <w:szCs w:val="22"/>
        </w:rPr>
      </w:pPr>
      <w:r w:rsidRPr="00A64D5D">
        <w:rPr>
          <w:sz w:val="22"/>
          <w:szCs w:val="22"/>
        </w:rPr>
        <w:t xml:space="preserve">The increased presence and influence of private companies </w:t>
      </w:r>
      <w:r w:rsidR="00570128">
        <w:rPr>
          <w:sz w:val="22"/>
          <w:szCs w:val="22"/>
        </w:rPr>
        <w:t xml:space="preserve">facilitated by </w:t>
      </w:r>
      <w:r w:rsidRPr="00A64D5D">
        <w:rPr>
          <w:sz w:val="22"/>
          <w:szCs w:val="22"/>
        </w:rPr>
        <w:t xml:space="preserve">Integrated Care Systems; </w:t>
      </w:r>
    </w:p>
    <w:p w14:paraId="0D5C23DC" w14:textId="41E54989" w:rsidR="00BF344A" w:rsidRPr="00A64D5D" w:rsidRDefault="00BF344A" w:rsidP="00601CF9">
      <w:pPr>
        <w:pStyle w:val="ListParagraph"/>
        <w:numPr>
          <w:ilvl w:val="0"/>
          <w:numId w:val="12"/>
        </w:numPr>
        <w:rPr>
          <w:sz w:val="22"/>
          <w:szCs w:val="22"/>
        </w:rPr>
      </w:pPr>
      <w:r w:rsidRPr="00A64D5D">
        <w:rPr>
          <w:sz w:val="22"/>
          <w:szCs w:val="22"/>
        </w:rPr>
        <w:t xml:space="preserve">The implications of repealing Section 75 of the Health and Social Care Act </w:t>
      </w:r>
      <w:r w:rsidR="00570128">
        <w:rPr>
          <w:sz w:val="22"/>
          <w:szCs w:val="22"/>
        </w:rPr>
        <w:t>(</w:t>
      </w:r>
      <w:r w:rsidRPr="00A64D5D">
        <w:rPr>
          <w:sz w:val="22"/>
          <w:szCs w:val="22"/>
        </w:rPr>
        <w:t>2012</w:t>
      </w:r>
      <w:r w:rsidR="00570128">
        <w:rPr>
          <w:sz w:val="22"/>
          <w:szCs w:val="22"/>
        </w:rPr>
        <w:t>)</w:t>
      </w:r>
      <w:r w:rsidRPr="00A64D5D">
        <w:rPr>
          <w:sz w:val="22"/>
          <w:szCs w:val="22"/>
        </w:rPr>
        <w:t xml:space="preserve"> without dismantling the market in NHS services;</w:t>
      </w:r>
    </w:p>
    <w:p w14:paraId="4681C13C" w14:textId="2EE698FF" w:rsidR="00BF344A" w:rsidRPr="00A64D5D" w:rsidRDefault="00667A72" w:rsidP="00601CF9">
      <w:pPr>
        <w:pStyle w:val="ListParagraph"/>
        <w:numPr>
          <w:ilvl w:val="0"/>
          <w:numId w:val="12"/>
        </w:numPr>
        <w:rPr>
          <w:sz w:val="22"/>
          <w:szCs w:val="22"/>
        </w:rPr>
      </w:pPr>
      <w:r>
        <w:rPr>
          <w:sz w:val="22"/>
          <w:szCs w:val="22"/>
        </w:rPr>
        <w:t>The emphasis on d</w:t>
      </w:r>
      <w:r w:rsidR="00570128">
        <w:rPr>
          <w:sz w:val="22"/>
          <w:szCs w:val="22"/>
        </w:rPr>
        <w:t>eregulation</w:t>
      </w:r>
      <w:r>
        <w:rPr>
          <w:sz w:val="22"/>
          <w:szCs w:val="22"/>
        </w:rPr>
        <w:t xml:space="preserve"> at the </w:t>
      </w:r>
      <w:r w:rsidR="00570128">
        <w:rPr>
          <w:sz w:val="22"/>
          <w:szCs w:val="22"/>
        </w:rPr>
        <w:t xml:space="preserve">risk of </w:t>
      </w:r>
      <w:r w:rsidR="00BF344A" w:rsidRPr="00A64D5D">
        <w:rPr>
          <w:sz w:val="22"/>
          <w:szCs w:val="22"/>
        </w:rPr>
        <w:t>cronyism</w:t>
      </w:r>
      <w:r w:rsidR="00570128">
        <w:rPr>
          <w:sz w:val="22"/>
          <w:szCs w:val="22"/>
        </w:rPr>
        <w:t>;</w:t>
      </w:r>
    </w:p>
    <w:p w14:paraId="3817A996" w14:textId="52CA1742" w:rsidR="00FF42E1" w:rsidRPr="00A64D5D" w:rsidRDefault="004D143C" w:rsidP="00601CF9">
      <w:pPr>
        <w:pStyle w:val="ListParagraph"/>
        <w:numPr>
          <w:ilvl w:val="0"/>
          <w:numId w:val="12"/>
        </w:numPr>
        <w:rPr>
          <w:sz w:val="22"/>
          <w:szCs w:val="22"/>
        </w:rPr>
      </w:pPr>
      <w:r w:rsidRPr="00A64D5D">
        <w:rPr>
          <w:sz w:val="22"/>
          <w:szCs w:val="22"/>
        </w:rPr>
        <w:t>New</w:t>
      </w:r>
      <w:r w:rsidR="004F6BBD" w:rsidRPr="00A64D5D">
        <w:rPr>
          <w:sz w:val="22"/>
          <w:szCs w:val="22"/>
        </w:rPr>
        <w:t xml:space="preserve"> arrangements that will fragment and deskill the NHS workfo</w:t>
      </w:r>
      <w:r w:rsidR="00276F2B" w:rsidRPr="00A64D5D">
        <w:rPr>
          <w:sz w:val="22"/>
          <w:szCs w:val="22"/>
        </w:rPr>
        <w:t>rce</w:t>
      </w:r>
      <w:r w:rsidR="00D671E5" w:rsidRPr="00A64D5D">
        <w:rPr>
          <w:sz w:val="22"/>
          <w:szCs w:val="22"/>
        </w:rPr>
        <w:t xml:space="preserve">, with </w:t>
      </w:r>
      <w:r w:rsidR="00C727FC" w:rsidRPr="00A64D5D">
        <w:rPr>
          <w:sz w:val="22"/>
          <w:szCs w:val="22"/>
        </w:rPr>
        <w:t xml:space="preserve">the possibility of </w:t>
      </w:r>
      <w:r w:rsidR="00276F2B" w:rsidRPr="00A64D5D">
        <w:rPr>
          <w:sz w:val="22"/>
          <w:szCs w:val="22"/>
        </w:rPr>
        <w:t>deregu</w:t>
      </w:r>
      <w:r w:rsidR="00C727FC" w:rsidRPr="00A64D5D">
        <w:rPr>
          <w:sz w:val="22"/>
          <w:szCs w:val="22"/>
        </w:rPr>
        <w:t>lating</w:t>
      </w:r>
      <w:r w:rsidR="00276F2B" w:rsidRPr="00A64D5D">
        <w:rPr>
          <w:sz w:val="22"/>
          <w:szCs w:val="22"/>
        </w:rPr>
        <w:t xml:space="preserve"> some professions</w:t>
      </w:r>
      <w:r w:rsidR="00C727FC" w:rsidRPr="00A64D5D">
        <w:rPr>
          <w:sz w:val="22"/>
          <w:szCs w:val="22"/>
        </w:rPr>
        <w:t xml:space="preserve"> in future</w:t>
      </w:r>
      <w:r w:rsidR="00BF344A" w:rsidRPr="00A64D5D">
        <w:rPr>
          <w:sz w:val="22"/>
          <w:szCs w:val="22"/>
        </w:rPr>
        <w:t>; and</w:t>
      </w:r>
    </w:p>
    <w:p w14:paraId="4177BE13" w14:textId="2DEB1B71" w:rsidR="00BF344A" w:rsidRPr="00A64D5D" w:rsidRDefault="00BF344A" w:rsidP="00601CF9">
      <w:pPr>
        <w:pStyle w:val="ListParagraph"/>
        <w:numPr>
          <w:ilvl w:val="0"/>
          <w:numId w:val="12"/>
        </w:numPr>
        <w:rPr>
          <w:sz w:val="22"/>
          <w:szCs w:val="22"/>
        </w:rPr>
      </w:pPr>
      <w:r w:rsidRPr="00A64D5D">
        <w:rPr>
          <w:sz w:val="22"/>
          <w:szCs w:val="22"/>
        </w:rPr>
        <w:t>The source of the proposals.</w:t>
      </w:r>
    </w:p>
    <w:p w14:paraId="2C2A930C" w14:textId="77777777" w:rsidR="00C57386" w:rsidRPr="00A64D5D" w:rsidRDefault="00C57386">
      <w:pPr>
        <w:rPr>
          <w:b/>
          <w:sz w:val="22"/>
          <w:szCs w:val="22"/>
        </w:rPr>
      </w:pPr>
    </w:p>
    <w:p w14:paraId="3D8FADEA" w14:textId="74142334" w:rsidR="00ED2C95" w:rsidRPr="00A64D5D" w:rsidRDefault="00C653A4">
      <w:pPr>
        <w:rPr>
          <w:b/>
          <w:sz w:val="22"/>
          <w:szCs w:val="22"/>
        </w:rPr>
      </w:pPr>
      <w:r>
        <w:rPr>
          <w:b/>
          <w:sz w:val="22"/>
          <w:szCs w:val="22"/>
        </w:rPr>
        <w:t xml:space="preserve">2. </w:t>
      </w:r>
      <w:r w:rsidR="00ED2C95" w:rsidRPr="00A64D5D">
        <w:rPr>
          <w:b/>
          <w:sz w:val="22"/>
          <w:szCs w:val="22"/>
        </w:rPr>
        <w:t>Background</w:t>
      </w:r>
    </w:p>
    <w:p w14:paraId="24DC4ABC" w14:textId="77777777" w:rsidR="00484BFF" w:rsidRPr="00A64D5D" w:rsidRDefault="00484BFF" w:rsidP="005E6051">
      <w:pPr>
        <w:rPr>
          <w:sz w:val="22"/>
          <w:szCs w:val="22"/>
        </w:rPr>
      </w:pPr>
    </w:p>
    <w:p w14:paraId="1EC99B69" w14:textId="43977A86" w:rsidR="00193A97" w:rsidRPr="00A64D5D" w:rsidRDefault="00C653A4" w:rsidP="005E6051">
      <w:pPr>
        <w:rPr>
          <w:sz w:val="22"/>
          <w:szCs w:val="22"/>
        </w:rPr>
      </w:pPr>
      <w:r>
        <w:rPr>
          <w:sz w:val="22"/>
          <w:szCs w:val="22"/>
        </w:rPr>
        <w:t xml:space="preserve">2.1 </w:t>
      </w:r>
      <w:r w:rsidR="000538A9" w:rsidRPr="00A64D5D">
        <w:rPr>
          <w:sz w:val="22"/>
          <w:szCs w:val="22"/>
        </w:rPr>
        <w:t>KONP is in favour of an integration of services and collaboration between service providers when this is in th</w:t>
      </w:r>
      <w:r w:rsidR="00ED65FA" w:rsidRPr="00A64D5D">
        <w:rPr>
          <w:sz w:val="22"/>
          <w:szCs w:val="22"/>
        </w:rPr>
        <w:t>e best interests of patients</w:t>
      </w:r>
      <w:r w:rsidR="0051651A" w:rsidRPr="00A64D5D">
        <w:rPr>
          <w:sz w:val="22"/>
          <w:szCs w:val="22"/>
        </w:rPr>
        <w:t xml:space="preserve">, and supports the provision of universal, comprehensive healthcare based on social solidarity. However, </w:t>
      </w:r>
      <w:r w:rsidR="00ED65FA" w:rsidRPr="00A64D5D">
        <w:rPr>
          <w:sz w:val="22"/>
          <w:szCs w:val="22"/>
        </w:rPr>
        <w:t>t</w:t>
      </w:r>
      <w:r w:rsidR="000538A9" w:rsidRPr="00A64D5D">
        <w:rPr>
          <w:sz w:val="22"/>
          <w:szCs w:val="22"/>
        </w:rPr>
        <w:t>he notion of ‘integrated care’ that underpins the current transformation of the NHS</w:t>
      </w:r>
      <w:r w:rsidR="0051651A" w:rsidRPr="00A64D5D">
        <w:rPr>
          <w:sz w:val="22"/>
          <w:szCs w:val="22"/>
        </w:rPr>
        <w:t xml:space="preserve"> is different</w:t>
      </w:r>
      <w:r w:rsidR="00BF344A" w:rsidRPr="00A64D5D">
        <w:rPr>
          <w:sz w:val="22"/>
          <w:szCs w:val="22"/>
        </w:rPr>
        <w:t>.  In the</w:t>
      </w:r>
      <w:r w:rsidR="002D3AE3" w:rsidRPr="00A64D5D">
        <w:rPr>
          <w:sz w:val="22"/>
          <w:szCs w:val="22"/>
        </w:rPr>
        <w:t xml:space="preserve"> context</w:t>
      </w:r>
      <w:r w:rsidR="00193A97" w:rsidRPr="00A64D5D">
        <w:rPr>
          <w:sz w:val="22"/>
          <w:szCs w:val="22"/>
        </w:rPr>
        <w:t xml:space="preserve"> of the White Paper proposals</w:t>
      </w:r>
      <w:r w:rsidR="002D3AE3" w:rsidRPr="00A64D5D">
        <w:rPr>
          <w:sz w:val="22"/>
          <w:szCs w:val="22"/>
        </w:rPr>
        <w:t>, ‘integrated care’</w:t>
      </w:r>
      <w:r w:rsidR="000538A9" w:rsidRPr="00A64D5D">
        <w:rPr>
          <w:sz w:val="22"/>
          <w:szCs w:val="22"/>
        </w:rPr>
        <w:t xml:space="preserve"> </w:t>
      </w:r>
      <w:r w:rsidR="00193A97" w:rsidRPr="00A64D5D">
        <w:rPr>
          <w:sz w:val="22"/>
          <w:szCs w:val="22"/>
        </w:rPr>
        <w:t xml:space="preserve">and integrated care systems represent a reconfiguration of organisational relationships, not care delivery. </w:t>
      </w:r>
    </w:p>
    <w:p w14:paraId="6D672DCD" w14:textId="77777777" w:rsidR="00193A97" w:rsidRPr="00A64D5D" w:rsidRDefault="00193A97" w:rsidP="005E6051">
      <w:pPr>
        <w:rPr>
          <w:sz w:val="22"/>
          <w:szCs w:val="22"/>
        </w:rPr>
      </w:pPr>
    </w:p>
    <w:p w14:paraId="2D970968" w14:textId="2544519B" w:rsidR="00193A97" w:rsidRPr="00A64D5D" w:rsidRDefault="00C653A4" w:rsidP="00193A97">
      <w:pPr>
        <w:rPr>
          <w:rFonts w:eastAsia="Times New Roman" w:cs="Times New Roman"/>
          <w:color w:val="333333"/>
          <w:sz w:val="22"/>
          <w:szCs w:val="22"/>
          <w:shd w:val="clear" w:color="auto" w:fill="FFFFFF"/>
        </w:rPr>
      </w:pPr>
      <w:r>
        <w:rPr>
          <w:sz w:val="22"/>
          <w:szCs w:val="22"/>
        </w:rPr>
        <w:t xml:space="preserve">2.2 </w:t>
      </w:r>
      <w:r w:rsidR="00A63CB9" w:rsidRPr="00A64D5D">
        <w:rPr>
          <w:sz w:val="22"/>
          <w:szCs w:val="22"/>
        </w:rPr>
        <w:t xml:space="preserve">The </w:t>
      </w:r>
      <w:r w:rsidR="00570128">
        <w:rPr>
          <w:sz w:val="22"/>
          <w:szCs w:val="22"/>
        </w:rPr>
        <w:t xml:space="preserve">Government’s </w:t>
      </w:r>
      <w:r w:rsidR="00A63CB9" w:rsidRPr="00A64D5D">
        <w:rPr>
          <w:sz w:val="22"/>
          <w:szCs w:val="22"/>
        </w:rPr>
        <w:t xml:space="preserve">proposals largely support NHS England’s (NHSE) </w:t>
      </w:r>
      <w:r w:rsidR="00193A97" w:rsidRPr="00A64D5D">
        <w:rPr>
          <w:sz w:val="22"/>
          <w:szCs w:val="22"/>
        </w:rPr>
        <w:t xml:space="preserve">plans for new care models, originally based on Accountable Care Organisations in the USA, but adapted to the UK context and now referred to as Integrated Care Systems (ICSs) and Integrated Care Providers. ICSs have been introduced at pace, despite the findings of the National Audit Office, for example, that neither government departments nor NHSE have provided robust evidence to show </w:t>
      </w:r>
      <w:r w:rsidR="00193A97" w:rsidRPr="00A64D5D">
        <w:rPr>
          <w:rFonts w:eastAsia="Times New Roman" w:cs="Times New Roman"/>
          <w:color w:val="333333"/>
          <w:sz w:val="22"/>
          <w:szCs w:val="22"/>
          <w:shd w:val="clear" w:color="auto" w:fill="FFFFFF"/>
        </w:rPr>
        <w:t>that ‘integration’, as planned, leads to better outcomes for patients, reduced need for hospital services, or sustainable financial savings.</w:t>
      </w:r>
      <w:r w:rsidR="00193A97" w:rsidRPr="00A64D5D">
        <w:rPr>
          <w:rStyle w:val="EndnoteReference"/>
          <w:rFonts w:eastAsia="Times New Roman" w:cs="Times New Roman"/>
          <w:color w:val="333333"/>
          <w:sz w:val="22"/>
          <w:szCs w:val="22"/>
          <w:shd w:val="clear" w:color="auto" w:fill="FFFFFF"/>
        </w:rPr>
        <w:endnoteReference w:id="1"/>
      </w:r>
      <w:r w:rsidR="00193A97" w:rsidRPr="00A64D5D">
        <w:rPr>
          <w:rFonts w:eastAsia="Times New Roman" w:cs="Times New Roman"/>
          <w:color w:val="333333"/>
          <w:sz w:val="22"/>
          <w:szCs w:val="22"/>
          <w:shd w:val="clear" w:color="auto" w:fill="FFFFFF"/>
        </w:rPr>
        <w:t xml:space="preserve">  </w:t>
      </w:r>
    </w:p>
    <w:p w14:paraId="11F95270" w14:textId="77777777" w:rsidR="00484BFF" w:rsidRPr="00A64D5D" w:rsidRDefault="00484BFF" w:rsidP="005E6051">
      <w:pPr>
        <w:rPr>
          <w:rFonts w:eastAsia="Times New Roman" w:cs="Times New Roman"/>
          <w:color w:val="333333"/>
          <w:sz w:val="22"/>
          <w:szCs w:val="22"/>
          <w:shd w:val="clear" w:color="auto" w:fill="FFFFFF"/>
        </w:rPr>
      </w:pPr>
    </w:p>
    <w:p w14:paraId="5530553D" w14:textId="48FB6280" w:rsidR="005E6051" w:rsidRPr="00A64D5D" w:rsidRDefault="00C653A4" w:rsidP="005E6051">
      <w:pPr>
        <w:rPr>
          <w:rFonts w:eastAsia="Times New Roman" w:cs="Times New Roman"/>
          <w:b/>
          <w:color w:val="333333"/>
          <w:sz w:val="22"/>
          <w:szCs w:val="22"/>
          <w:shd w:val="clear" w:color="auto" w:fill="FFFFFF"/>
        </w:rPr>
      </w:pPr>
      <w:r>
        <w:rPr>
          <w:rFonts w:eastAsia="Times New Roman" w:cs="Times New Roman"/>
          <w:b/>
          <w:color w:val="333333"/>
          <w:sz w:val="22"/>
          <w:szCs w:val="22"/>
          <w:shd w:val="clear" w:color="auto" w:fill="FFFFFF"/>
        </w:rPr>
        <w:t xml:space="preserve">3. </w:t>
      </w:r>
      <w:r w:rsidR="005E6051" w:rsidRPr="00A64D5D">
        <w:rPr>
          <w:rFonts w:eastAsia="Times New Roman" w:cs="Times New Roman"/>
          <w:b/>
          <w:color w:val="333333"/>
          <w:sz w:val="22"/>
          <w:szCs w:val="22"/>
          <w:shd w:val="clear" w:color="auto" w:fill="FFFFFF"/>
        </w:rPr>
        <w:t>Our concerns</w:t>
      </w:r>
    </w:p>
    <w:p w14:paraId="3A42DB1B" w14:textId="77777777" w:rsidR="005E6051" w:rsidRPr="00A64D5D" w:rsidRDefault="005E6051" w:rsidP="005E6051">
      <w:pPr>
        <w:rPr>
          <w:rFonts w:eastAsia="Times New Roman" w:cs="Times New Roman"/>
          <w:sz w:val="22"/>
          <w:szCs w:val="22"/>
        </w:rPr>
      </w:pPr>
    </w:p>
    <w:p w14:paraId="31DC5B66" w14:textId="6EFEB55E" w:rsidR="002C2105" w:rsidRPr="00A64D5D" w:rsidRDefault="00C653A4" w:rsidP="002C2105">
      <w:pPr>
        <w:rPr>
          <w:sz w:val="22"/>
          <w:szCs w:val="22"/>
        </w:rPr>
      </w:pPr>
      <w:r>
        <w:rPr>
          <w:sz w:val="22"/>
          <w:szCs w:val="22"/>
        </w:rPr>
        <w:lastRenderedPageBreak/>
        <w:t xml:space="preserve">3.1 </w:t>
      </w:r>
      <w:r w:rsidR="005E6051" w:rsidRPr="00A64D5D">
        <w:rPr>
          <w:sz w:val="22"/>
          <w:szCs w:val="22"/>
        </w:rPr>
        <w:t>The White Paper, together with related NHSE documents (</w:t>
      </w:r>
      <w:r w:rsidR="00D671E5" w:rsidRPr="00A64D5D">
        <w:rPr>
          <w:sz w:val="22"/>
          <w:szCs w:val="22"/>
        </w:rPr>
        <w:t xml:space="preserve">such as </w:t>
      </w:r>
      <w:r w:rsidR="00A63CB9" w:rsidRPr="00A64D5D">
        <w:rPr>
          <w:sz w:val="22"/>
          <w:szCs w:val="22"/>
        </w:rPr>
        <w:t xml:space="preserve">NHSE’s </w:t>
      </w:r>
      <w:r w:rsidR="00276F2B" w:rsidRPr="00A64D5D">
        <w:rPr>
          <w:sz w:val="22"/>
          <w:szCs w:val="22"/>
        </w:rPr>
        <w:t>own legislative proposals</w:t>
      </w:r>
      <w:r w:rsidR="00D671E5" w:rsidRPr="00A64D5D">
        <w:rPr>
          <w:sz w:val="22"/>
          <w:szCs w:val="22"/>
        </w:rPr>
        <w:t xml:space="preserve"> for implementing the NHS Long Term Plan</w:t>
      </w:r>
      <w:r w:rsidR="00276F2B" w:rsidRPr="00A64D5D">
        <w:rPr>
          <w:sz w:val="22"/>
          <w:szCs w:val="22"/>
        </w:rPr>
        <w:t>)</w:t>
      </w:r>
      <w:r w:rsidR="00EA47E7">
        <w:rPr>
          <w:sz w:val="22"/>
          <w:szCs w:val="22"/>
        </w:rPr>
        <w:t>,</w:t>
      </w:r>
      <w:r w:rsidR="00D671E5" w:rsidRPr="00A64D5D">
        <w:rPr>
          <w:rStyle w:val="EndnoteReference"/>
          <w:sz w:val="22"/>
          <w:szCs w:val="22"/>
        </w:rPr>
        <w:endnoteReference w:id="2"/>
      </w:r>
      <w:r w:rsidR="00276F2B" w:rsidRPr="00A64D5D">
        <w:rPr>
          <w:sz w:val="22"/>
          <w:szCs w:val="22"/>
        </w:rPr>
        <w:t xml:space="preserve"> </w:t>
      </w:r>
      <w:r w:rsidR="005E6051" w:rsidRPr="00A64D5D">
        <w:rPr>
          <w:sz w:val="22"/>
          <w:szCs w:val="22"/>
        </w:rPr>
        <w:t>signal</w:t>
      </w:r>
      <w:r w:rsidR="002C2105" w:rsidRPr="00A64D5D">
        <w:rPr>
          <w:sz w:val="22"/>
          <w:szCs w:val="22"/>
        </w:rPr>
        <w:t xml:space="preserve"> </w:t>
      </w:r>
      <w:r w:rsidR="00276F2B" w:rsidRPr="00A64D5D">
        <w:rPr>
          <w:sz w:val="22"/>
          <w:szCs w:val="22"/>
        </w:rPr>
        <w:t>far-reaching and fundamental changes to the NHS that will increase privatisation, deskill and demotivate the NHS workforce, and potentially restrict patients’ access to services.</w:t>
      </w:r>
      <w:r w:rsidR="00460776" w:rsidRPr="00A64D5D">
        <w:rPr>
          <w:sz w:val="22"/>
          <w:szCs w:val="22"/>
        </w:rPr>
        <w:t xml:space="preserve"> More spec</w:t>
      </w:r>
      <w:r w:rsidR="00D671E5" w:rsidRPr="00A64D5D">
        <w:rPr>
          <w:sz w:val="22"/>
          <w:szCs w:val="22"/>
        </w:rPr>
        <w:t>ifically our concerns relate to</w:t>
      </w:r>
      <w:r w:rsidR="008C00ED" w:rsidRPr="00A64D5D">
        <w:rPr>
          <w:sz w:val="22"/>
          <w:szCs w:val="22"/>
        </w:rPr>
        <w:t xml:space="preserve">: </w:t>
      </w:r>
    </w:p>
    <w:p w14:paraId="6DAB218F" w14:textId="77777777" w:rsidR="002C2105" w:rsidRPr="00A64D5D" w:rsidRDefault="002C2105" w:rsidP="002C2105">
      <w:pPr>
        <w:rPr>
          <w:sz w:val="22"/>
          <w:szCs w:val="22"/>
        </w:rPr>
      </w:pPr>
    </w:p>
    <w:p w14:paraId="1B5721E9" w14:textId="637D8873" w:rsidR="00FC3B1F" w:rsidRDefault="00C653A4" w:rsidP="00FC3B1F">
      <w:pPr>
        <w:rPr>
          <w:i/>
          <w:sz w:val="22"/>
          <w:szCs w:val="22"/>
        </w:rPr>
      </w:pPr>
      <w:r>
        <w:rPr>
          <w:i/>
          <w:sz w:val="22"/>
          <w:szCs w:val="22"/>
        </w:rPr>
        <w:t xml:space="preserve">3.2 </w:t>
      </w:r>
      <w:r w:rsidR="00FC3B1F" w:rsidRPr="00CA1A76">
        <w:rPr>
          <w:i/>
          <w:sz w:val="22"/>
          <w:szCs w:val="22"/>
        </w:rPr>
        <w:t>The risk of a ‘democratic deficit’</w:t>
      </w:r>
    </w:p>
    <w:p w14:paraId="0C11C9E0" w14:textId="77777777" w:rsidR="00601CF9" w:rsidRPr="00CA1A76" w:rsidRDefault="00601CF9" w:rsidP="00FC3B1F">
      <w:pPr>
        <w:rPr>
          <w:i/>
          <w:sz w:val="22"/>
          <w:szCs w:val="22"/>
        </w:rPr>
      </w:pPr>
    </w:p>
    <w:p w14:paraId="044AC5A4" w14:textId="61E885C8" w:rsidR="00FC3B1F" w:rsidRPr="00A64D5D" w:rsidRDefault="00C653A4" w:rsidP="00FC3B1F">
      <w:pPr>
        <w:rPr>
          <w:sz w:val="22"/>
          <w:szCs w:val="22"/>
        </w:rPr>
      </w:pPr>
      <w:r>
        <w:rPr>
          <w:sz w:val="22"/>
          <w:szCs w:val="22"/>
        </w:rPr>
        <w:t xml:space="preserve">3.2.1 </w:t>
      </w:r>
      <w:r w:rsidR="00FC3B1F" w:rsidRPr="00A64D5D">
        <w:rPr>
          <w:sz w:val="22"/>
          <w:szCs w:val="22"/>
        </w:rPr>
        <w:t xml:space="preserve">The geographical size of ICSs, along with </w:t>
      </w:r>
      <w:r w:rsidR="00EA47E7">
        <w:rPr>
          <w:sz w:val="22"/>
          <w:szCs w:val="22"/>
        </w:rPr>
        <w:t xml:space="preserve">the </w:t>
      </w:r>
      <w:r w:rsidR="00FC3B1F" w:rsidRPr="00A64D5D">
        <w:rPr>
          <w:sz w:val="22"/>
          <w:szCs w:val="22"/>
        </w:rPr>
        <w:t>mergers (and ultimately the abolition) of CCGs, will concentrate decision-making at a level that is remote from local populations</w:t>
      </w:r>
      <w:r w:rsidR="00EA47E7">
        <w:rPr>
          <w:sz w:val="22"/>
          <w:szCs w:val="22"/>
        </w:rPr>
        <w:t>.  This will reduce focus on any</w:t>
      </w:r>
      <w:r w:rsidR="00FC3B1F" w:rsidRPr="00A64D5D">
        <w:rPr>
          <w:sz w:val="22"/>
          <w:szCs w:val="22"/>
        </w:rPr>
        <w:t xml:space="preserve"> specific local area, meaning a loss of ability to identify, contact and lobby the commissioning body on issues of concern to local communities. Despite </w:t>
      </w:r>
      <w:r w:rsidR="00EA47E7">
        <w:rPr>
          <w:sz w:val="22"/>
          <w:szCs w:val="22"/>
        </w:rPr>
        <w:t>the strong possibility that ICSs will make changes to local services</w:t>
      </w:r>
      <w:r w:rsidR="00FC3B1F" w:rsidRPr="00A64D5D">
        <w:rPr>
          <w:sz w:val="22"/>
          <w:szCs w:val="22"/>
        </w:rPr>
        <w:t xml:space="preserve">, the proposals make little reference to public </w:t>
      </w:r>
      <w:r w:rsidR="00667A72">
        <w:rPr>
          <w:sz w:val="22"/>
          <w:szCs w:val="22"/>
        </w:rPr>
        <w:t xml:space="preserve">engagement or </w:t>
      </w:r>
      <w:r w:rsidR="00FC3B1F" w:rsidRPr="00A64D5D">
        <w:rPr>
          <w:sz w:val="22"/>
          <w:szCs w:val="22"/>
        </w:rPr>
        <w:t xml:space="preserve">consultation. There is </w:t>
      </w:r>
      <w:r w:rsidR="00253476" w:rsidRPr="00A64D5D">
        <w:rPr>
          <w:sz w:val="22"/>
          <w:szCs w:val="22"/>
        </w:rPr>
        <w:t xml:space="preserve">currently </w:t>
      </w:r>
      <w:r w:rsidR="00FC3B1F" w:rsidRPr="00A64D5D">
        <w:rPr>
          <w:sz w:val="22"/>
          <w:szCs w:val="22"/>
        </w:rPr>
        <w:t xml:space="preserve">no commitment that ICS </w:t>
      </w:r>
      <w:r w:rsidR="00514CB0" w:rsidRPr="00A64D5D">
        <w:rPr>
          <w:sz w:val="22"/>
          <w:szCs w:val="22"/>
        </w:rPr>
        <w:t>Board meetings</w:t>
      </w:r>
      <w:r w:rsidR="00FC3B1F" w:rsidRPr="00A64D5D">
        <w:rPr>
          <w:sz w:val="22"/>
          <w:szCs w:val="22"/>
        </w:rPr>
        <w:t xml:space="preserve"> will be open to the public and, anyway, given the </w:t>
      </w:r>
      <w:r w:rsidR="00514CB0" w:rsidRPr="00A64D5D">
        <w:rPr>
          <w:sz w:val="22"/>
          <w:szCs w:val="22"/>
        </w:rPr>
        <w:t xml:space="preserve">geographical </w:t>
      </w:r>
      <w:r w:rsidR="00FC3B1F" w:rsidRPr="00A64D5D">
        <w:rPr>
          <w:sz w:val="22"/>
          <w:szCs w:val="22"/>
        </w:rPr>
        <w:t xml:space="preserve">size </w:t>
      </w:r>
      <w:r w:rsidR="00EA47E7">
        <w:rPr>
          <w:sz w:val="22"/>
          <w:szCs w:val="22"/>
        </w:rPr>
        <w:t xml:space="preserve">of ICS, these </w:t>
      </w:r>
      <w:r w:rsidR="00253476" w:rsidRPr="00A64D5D">
        <w:rPr>
          <w:sz w:val="22"/>
          <w:szCs w:val="22"/>
        </w:rPr>
        <w:t xml:space="preserve">are likely to </w:t>
      </w:r>
      <w:r w:rsidR="006E77A3" w:rsidRPr="00A64D5D">
        <w:rPr>
          <w:sz w:val="22"/>
          <w:szCs w:val="22"/>
        </w:rPr>
        <w:t>be in</w:t>
      </w:r>
      <w:r w:rsidR="00514CB0" w:rsidRPr="00A64D5D">
        <w:rPr>
          <w:sz w:val="22"/>
          <w:szCs w:val="22"/>
        </w:rPr>
        <w:t xml:space="preserve">accessible for </w:t>
      </w:r>
      <w:r w:rsidR="00FC3B1F" w:rsidRPr="00A64D5D">
        <w:rPr>
          <w:sz w:val="22"/>
          <w:szCs w:val="22"/>
        </w:rPr>
        <w:t>most citizens</w:t>
      </w:r>
      <w:r w:rsidR="00EA47E7">
        <w:rPr>
          <w:sz w:val="22"/>
          <w:szCs w:val="22"/>
        </w:rPr>
        <w:t xml:space="preserve">. </w:t>
      </w:r>
      <w:r w:rsidR="00293515">
        <w:rPr>
          <w:sz w:val="22"/>
          <w:szCs w:val="22"/>
        </w:rPr>
        <w:t xml:space="preserve"> For example, the </w:t>
      </w:r>
      <w:r w:rsidR="00EA47E7">
        <w:rPr>
          <w:sz w:val="22"/>
          <w:szCs w:val="22"/>
        </w:rPr>
        <w:t>Cheshire and Merseyside</w:t>
      </w:r>
      <w:r w:rsidR="00293515">
        <w:rPr>
          <w:sz w:val="22"/>
          <w:szCs w:val="22"/>
        </w:rPr>
        <w:t xml:space="preserve"> Health and Care Partnership</w:t>
      </w:r>
      <w:r w:rsidR="00EA47E7">
        <w:rPr>
          <w:sz w:val="22"/>
          <w:szCs w:val="22"/>
        </w:rPr>
        <w:t xml:space="preserve">, </w:t>
      </w:r>
      <w:r w:rsidR="00293515">
        <w:rPr>
          <w:sz w:val="22"/>
          <w:szCs w:val="22"/>
        </w:rPr>
        <w:t>currently well on its way to becoming an ICS, covers a population of</w:t>
      </w:r>
      <w:r w:rsidR="00EA47E7">
        <w:rPr>
          <w:sz w:val="22"/>
          <w:szCs w:val="22"/>
        </w:rPr>
        <w:t xml:space="preserve"> around 2.5 million.  </w:t>
      </w:r>
    </w:p>
    <w:p w14:paraId="3A986AEC" w14:textId="77777777" w:rsidR="00FC3B1F" w:rsidRPr="00A64D5D" w:rsidRDefault="00FC3B1F" w:rsidP="00FC3B1F">
      <w:pPr>
        <w:rPr>
          <w:sz w:val="22"/>
          <w:szCs w:val="22"/>
        </w:rPr>
      </w:pPr>
    </w:p>
    <w:p w14:paraId="2B801A2B" w14:textId="3A9345CA" w:rsidR="004716FA" w:rsidRPr="00A64D5D" w:rsidRDefault="00601CF9" w:rsidP="00FC3B1F">
      <w:pPr>
        <w:rPr>
          <w:sz w:val="22"/>
          <w:szCs w:val="22"/>
        </w:rPr>
      </w:pPr>
      <w:r>
        <w:rPr>
          <w:sz w:val="22"/>
          <w:szCs w:val="22"/>
        </w:rPr>
        <w:t xml:space="preserve">3.2.3 </w:t>
      </w:r>
      <w:r w:rsidR="00514CB0" w:rsidRPr="00A64D5D">
        <w:rPr>
          <w:sz w:val="22"/>
          <w:szCs w:val="22"/>
        </w:rPr>
        <w:t>In addition, t</w:t>
      </w:r>
      <w:r w:rsidR="00FC3B1F" w:rsidRPr="00A64D5D">
        <w:rPr>
          <w:sz w:val="22"/>
          <w:szCs w:val="22"/>
        </w:rPr>
        <w:t xml:space="preserve">here will be limited representation of (elected) local authorities (LAs) on ICS Boards. </w:t>
      </w:r>
      <w:r w:rsidR="006C7992" w:rsidRPr="00A64D5D">
        <w:rPr>
          <w:sz w:val="22"/>
          <w:szCs w:val="22"/>
        </w:rPr>
        <w:t>ICSs will be dual systems</w:t>
      </w:r>
      <w:r w:rsidR="004716FA" w:rsidRPr="00A64D5D">
        <w:rPr>
          <w:sz w:val="22"/>
          <w:szCs w:val="22"/>
        </w:rPr>
        <w:t>, each with</w:t>
      </w:r>
      <w:r w:rsidR="006C7992" w:rsidRPr="00A64D5D">
        <w:rPr>
          <w:sz w:val="22"/>
          <w:szCs w:val="22"/>
        </w:rPr>
        <w:t xml:space="preserve">: </w:t>
      </w:r>
    </w:p>
    <w:p w14:paraId="4A65D4FE" w14:textId="748B48D6" w:rsidR="004716FA" w:rsidRPr="00A64D5D" w:rsidRDefault="004716FA" w:rsidP="004716FA">
      <w:pPr>
        <w:pStyle w:val="ListParagraph"/>
        <w:numPr>
          <w:ilvl w:val="0"/>
          <w:numId w:val="11"/>
        </w:numPr>
        <w:rPr>
          <w:sz w:val="22"/>
          <w:szCs w:val="22"/>
        </w:rPr>
      </w:pPr>
      <w:r w:rsidRPr="00A64D5D">
        <w:rPr>
          <w:sz w:val="22"/>
          <w:szCs w:val="22"/>
        </w:rPr>
        <w:t xml:space="preserve">an </w:t>
      </w:r>
      <w:r w:rsidR="006C7992" w:rsidRPr="00A64D5D">
        <w:rPr>
          <w:sz w:val="22"/>
          <w:szCs w:val="22"/>
        </w:rPr>
        <w:t xml:space="preserve">ICS </w:t>
      </w:r>
      <w:r w:rsidRPr="00A64D5D">
        <w:rPr>
          <w:sz w:val="22"/>
          <w:szCs w:val="22"/>
        </w:rPr>
        <w:t>NHS Body</w:t>
      </w:r>
      <w:r w:rsidR="006C7992" w:rsidRPr="00A64D5D">
        <w:rPr>
          <w:sz w:val="22"/>
          <w:szCs w:val="22"/>
        </w:rPr>
        <w:t xml:space="preserve"> that makes strategic and financial decis</w:t>
      </w:r>
      <w:r w:rsidRPr="00A64D5D">
        <w:rPr>
          <w:sz w:val="22"/>
          <w:szCs w:val="22"/>
        </w:rPr>
        <w:t xml:space="preserve">ions, </w:t>
      </w:r>
      <w:r w:rsidR="00293515">
        <w:rPr>
          <w:sz w:val="22"/>
          <w:szCs w:val="22"/>
        </w:rPr>
        <w:t xml:space="preserve">that apparently will </w:t>
      </w:r>
      <w:r w:rsidR="00667A72">
        <w:rPr>
          <w:sz w:val="22"/>
          <w:szCs w:val="22"/>
        </w:rPr>
        <w:t>have just one LA representative</w:t>
      </w:r>
      <w:r w:rsidRPr="00A64D5D">
        <w:rPr>
          <w:sz w:val="22"/>
          <w:szCs w:val="22"/>
        </w:rPr>
        <w:t xml:space="preserve"> despite the ICS </w:t>
      </w:r>
      <w:r w:rsidR="00903912" w:rsidRPr="00A64D5D">
        <w:rPr>
          <w:sz w:val="22"/>
          <w:szCs w:val="22"/>
        </w:rPr>
        <w:t xml:space="preserve">footprint </w:t>
      </w:r>
      <w:r w:rsidRPr="00A64D5D">
        <w:rPr>
          <w:sz w:val="22"/>
          <w:szCs w:val="22"/>
        </w:rPr>
        <w:t xml:space="preserve">potentially covering a number of LAs; and </w:t>
      </w:r>
    </w:p>
    <w:p w14:paraId="08EB8883" w14:textId="77777777" w:rsidR="004716FA" w:rsidRPr="00A64D5D" w:rsidRDefault="004716FA" w:rsidP="004716FA">
      <w:pPr>
        <w:pStyle w:val="ListParagraph"/>
        <w:numPr>
          <w:ilvl w:val="0"/>
          <w:numId w:val="11"/>
        </w:numPr>
        <w:rPr>
          <w:sz w:val="22"/>
          <w:szCs w:val="22"/>
        </w:rPr>
      </w:pPr>
      <w:r w:rsidRPr="00A64D5D">
        <w:rPr>
          <w:sz w:val="22"/>
          <w:szCs w:val="22"/>
        </w:rPr>
        <w:t xml:space="preserve">an ICS </w:t>
      </w:r>
      <w:r w:rsidR="006C7992" w:rsidRPr="00A64D5D">
        <w:rPr>
          <w:sz w:val="22"/>
          <w:szCs w:val="22"/>
        </w:rPr>
        <w:t xml:space="preserve">Health and Care Partnership </w:t>
      </w:r>
      <w:r w:rsidRPr="00A64D5D">
        <w:rPr>
          <w:sz w:val="22"/>
          <w:szCs w:val="22"/>
        </w:rPr>
        <w:t xml:space="preserve">that brings together providers, LAs and organisations with an interest in health and care, and is responsible for developing a plan to meet the system’s health, public health, and social care needs. </w:t>
      </w:r>
    </w:p>
    <w:p w14:paraId="2192FF29" w14:textId="10C6C515" w:rsidR="00903912" w:rsidRPr="00A64D5D" w:rsidRDefault="004716FA" w:rsidP="004716FA">
      <w:pPr>
        <w:rPr>
          <w:sz w:val="22"/>
          <w:szCs w:val="22"/>
        </w:rPr>
      </w:pPr>
      <w:r w:rsidRPr="00A64D5D">
        <w:rPr>
          <w:sz w:val="22"/>
          <w:szCs w:val="22"/>
        </w:rPr>
        <w:t xml:space="preserve">The relationship between these two bodies is unclear, except that the NHS Body </w:t>
      </w:r>
      <w:r w:rsidR="00667A72">
        <w:rPr>
          <w:sz w:val="22"/>
          <w:szCs w:val="22"/>
        </w:rPr>
        <w:t xml:space="preserve">sets strategy, controls the purse strings, and </w:t>
      </w:r>
      <w:r w:rsidRPr="00A64D5D">
        <w:rPr>
          <w:sz w:val="22"/>
          <w:szCs w:val="22"/>
        </w:rPr>
        <w:t xml:space="preserve">is responsible for setting up the Health and Care Partnership.  </w:t>
      </w:r>
    </w:p>
    <w:p w14:paraId="624BCAB0" w14:textId="77777777" w:rsidR="00903912" w:rsidRPr="00A64D5D" w:rsidRDefault="00903912" w:rsidP="004716FA">
      <w:pPr>
        <w:rPr>
          <w:sz w:val="22"/>
          <w:szCs w:val="22"/>
        </w:rPr>
      </w:pPr>
    </w:p>
    <w:p w14:paraId="78BCB7F7" w14:textId="34837D83" w:rsidR="00FC3B1F" w:rsidRPr="00A64D5D" w:rsidRDefault="00601CF9" w:rsidP="004716FA">
      <w:pPr>
        <w:rPr>
          <w:sz w:val="22"/>
          <w:szCs w:val="22"/>
        </w:rPr>
      </w:pPr>
      <w:r>
        <w:rPr>
          <w:sz w:val="22"/>
          <w:szCs w:val="22"/>
        </w:rPr>
        <w:t xml:space="preserve">3.2.4 </w:t>
      </w:r>
      <w:r w:rsidR="00FC3B1F" w:rsidRPr="00A64D5D">
        <w:rPr>
          <w:sz w:val="22"/>
          <w:szCs w:val="22"/>
        </w:rPr>
        <w:t>We echo concerns expressed by the Local Government Association that within ICSs the partnership between LAs and the NHS will not be one of equals and that the wider perspective of LAs on the role of social care, public health, housing, early years and other local government functions will be lost</w:t>
      </w:r>
      <w:r w:rsidR="00A63CB9" w:rsidRPr="00A64D5D">
        <w:rPr>
          <w:sz w:val="22"/>
          <w:szCs w:val="22"/>
        </w:rPr>
        <w:t xml:space="preserve"> in local strategies and plans</w:t>
      </w:r>
      <w:r w:rsidR="00FC3B1F" w:rsidRPr="00A64D5D">
        <w:rPr>
          <w:sz w:val="22"/>
          <w:szCs w:val="22"/>
        </w:rPr>
        <w:t>.</w:t>
      </w:r>
      <w:r w:rsidR="00FC3B1F" w:rsidRPr="00A64D5D">
        <w:rPr>
          <w:rStyle w:val="EndnoteReference"/>
          <w:sz w:val="22"/>
          <w:szCs w:val="22"/>
        </w:rPr>
        <w:endnoteReference w:id="3"/>
      </w:r>
      <w:r w:rsidR="00FC3B1F" w:rsidRPr="00A64D5D">
        <w:rPr>
          <w:sz w:val="22"/>
          <w:szCs w:val="22"/>
        </w:rPr>
        <w:t xml:space="preserve"> </w:t>
      </w:r>
      <w:r w:rsidR="00A63CB9" w:rsidRPr="00A64D5D">
        <w:rPr>
          <w:sz w:val="22"/>
          <w:szCs w:val="22"/>
        </w:rPr>
        <w:t xml:space="preserve">This is particularly of concern as NHS plans stress the need to redress inequalities in health, and yet the local government perspective is crucial to </w:t>
      </w:r>
      <w:r w:rsidR="00FC3B1F" w:rsidRPr="00A64D5D">
        <w:rPr>
          <w:sz w:val="22"/>
          <w:szCs w:val="22"/>
        </w:rPr>
        <w:t>addressing the social determinants of ill health.</w:t>
      </w:r>
      <w:r w:rsidR="00FC3B1F" w:rsidRPr="00A64D5D">
        <w:rPr>
          <w:rStyle w:val="EndnoteReference"/>
          <w:sz w:val="22"/>
          <w:szCs w:val="22"/>
        </w:rPr>
        <w:endnoteReference w:id="4"/>
      </w:r>
      <w:r w:rsidR="00FC3B1F" w:rsidRPr="00A64D5D">
        <w:rPr>
          <w:sz w:val="22"/>
          <w:szCs w:val="22"/>
        </w:rPr>
        <w:t xml:space="preserve"> </w:t>
      </w:r>
      <w:r w:rsidR="00FC3B1F" w:rsidRPr="00A64D5D">
        <w:rPr>
          <w:rStyle w:val="EndnoteReference"/>
          <w:sz w:val="22"/>
          <w:szCs w:val="22"/>
        </w:rPr>
        <w:endnoteReference w:id="5"/>
      </w:r>
    </w:p>
    <w:p w14:paraId="0BCF9B18" w14:textId="09E313EB" w:rsidR="00FC3B1F" w:rsidRPr="00A64D5D" w:rsidRDefault="00FC3B1F" w:rsidP="002C2105">
      <w:pPr>
        <w:rPr>
          <w:sz w:val="22"/>
          <w:szCs w:val="22"/>
        </w:rPr>
      </w:pPr>
    </w:p>
    <w:p w14:paraId="35E979CF" w14:textId="16198AA6" w:rsidR="00514CB0" w:rsidRDefault="00601CF9" w:rsidP="00514CB0">
      <w:pPr>
        <w:rPr>
          <w:rFonts w:eastAsia="Liberation Serif" w:cs="Liberation Serif"/>
          <w:i/>
          <w:sz w:val="22"/>
          <w:szCs w:val="22"/>
        </w:rPr>
      </w:pPr>
      <w:r>
        <w:rPr>
          <w:i/>
          <w:sz w:val="22"/>
          <w:szCs w:val="22"/>
        </w:rPr>
        <w:t>3.3</w:t>
      </w:r>
      <w:r w:rsidR="005E3F80" w:rsidRPr="00CA1A76">
        <w:rPr>
          <w:i/>
          <w:sz w:val="22"/>
          <w:szCs w:val="22"/>
        </w:rPr>
        <w:t xml:space="preserve"> </w:t>
      </w:r>
      <w:r w:rsidR="00514CB0" w:rsidRPr="00CA1A76">
        <w:rPr>
          <w:rFonts w:eastAsia="Liberation Serif" w:cs="Liberation Serif"/>
          <w:i/>
          <w:sz w:val="22"/>
          <w:szCs w:val="22"/>
        </w:rPr>
        <w:t>Increased central control and less local accountability</w:t>
      </w:r>
    </w:p>
    <w:p w14:paraId="217A60DB" w14:textId="77777777" w:rsidR="00601CF9" w:rsidRPr="00CA1A76" w:rsidRDefault="00601CF9" w:rsidP="00514CB0">
      <w:pPr>
        <w:rPr>
          <w:rFonts w:eastAsia="Liberation Serif" w:cs="Liberation Serif"/>
          <w:i/>
          <w:sz w:val="22"/>
          <w:szCs w:val="22"/>
        </w:rPr>
      </w:pPr>
    </w:p>
    <w:p w14:paraId="2335C74A" w14:textId="6CE8B04F" w:rsidR="00CA1A76" w:rsidRDefault="00601CF9" w:rsidP="00514CB0">
      <w:pPr>
        <w:rPr>
          <w:sz w:val="22"/>
          <w:szCs w:val="22"/>
        </w:rPr>
      </w:pPr>
      <w:r>
        <w:rPr>
          <w:sz w:val="22"/>
          <w:szCs w:val="22"/>
        </w:rPr>
        <w:t xml:space="preserve">3.3.1 </w:t>
      </w:r>
      <w:r w:rsidR="00CA1A76">
        <w:rPr>
          <w:sz w:val="22"/>
          <w:szCs w:val="22"/>
        </w:rPr>
        <w:t xml:space="preserve">The White Paper proposals will give extensive new powers to the Secretary of State for Health and Social Care, such </w:t>
      </w:r>
      <w:r w:rsidR="00293515">
        <w:rPr>
          <w:sz w:val="22"/>
          <w:szCs w:val="22"/>
        </w:rPr>
        <w:t>as the power</w:t>
      </w:r>
      <w:r w:rsidR="00CA1A76">
        <w:rPr>
          <w:sz w:val="22"/>
          <w:szCs w:val="22"/>
        </w:rPr>
        <w:t xml:space="preserve"> </w:t>
      </w:r>
      <w:r w:rsidR="00293515">
        <w:rPr>
          <w:sz w:val="22"/>
          <w:szCs w:val="22"/>
        </w:rPr>
        <w:t xml:space="preserve">to issue directions to NHSE and to </w:t>
      </w:r>
      <w:r w:rsidR="00CA1A76">
        <w:rPr>
          <w:sz w:val="22"/>
          <w:szCs w:val="22"/>
        </w:rPr>
        <w:t>intervene at other l</w:t>
      </w:r>
      <w:r w:rsidR="00293515">
        <w:rPr>
          <w:sz w:val="22"/>
          <w:szCs w:val="22"/>
        </w:rPr>
        <w:t>evels of the health service, along with</w:t>
      </w:r>
      <w:r w:rsidR="00CA1A76">
        <w:rPr>
          <w:sz w:val="22"/>
          <w:szCs w:val="22"/>
        </w:rPr>
        <w:t xml:space="preserve"> the ability to abolish arms-length health bodies, including NHSE, purely through secondary legislation.</w:t>
      </w:r>
    </w:p>
    <w:p w14:paraId="73510898" w14:textId="77777777" w:rsidR="00CA1A76" w:rsidRDefault="00CA1A76" w:rsidP="00514CB0">
      <w:pPr>
        <w:rPr>
          <w:sz w:val="22"/>
          <w:szCs w:val="22"/>
        </w:rPr>
      </w:pPr>
    </w:p>
    <w:p w14:paraId="72A70460" w14:textId="35C0B4C5" w:rsidR="00514CB0" w:rsidRPr="00A64D5D" w:rsidRDefault="00601CF9" w:rsidP="00514CB0">
      <w:pPr>
        <w:rPr>
          <w:sz w:val="22"/>
          <w:szCs w:val="22"/>
        </w:rPr>
      </w:pPr>
      <w:r>
        <w:rPr>
          <w:sz w:val="22"/>
          <w:szCs w:val="22"/>
        </w:rPr>
        <w:t xml:space="preserve">3.3.2 </w:t>
      </w:r>
      <w:r w:rsidR="00667A72">
        <w:rPr>
          <w:sz w:val="22"/>
          <w:szCs w:val="22"/>
        </w:rPr>
        <w:t>Proposals also indicate i</w:t>
      </w:r>
      <w:r w:rsidR="00F20EB5">
        <w:rPr>
          <w:sz w:val="22"/>
          <w:szCs w:val="22"/>
        </w:rPr>
        <w:t>ncreased central control</w:t>
      </w:r>
      <w:r w:rsidR="00667A72">
        <w:rPr>
          <w:sz w:val="22"/>
          <w:szCs w:val="22"/>
        </w:rPr>
        <w:t xml:space="preserve"> for ICSs</w:t>
      </w:r>
      <w:r w:rsidR="00CA1A76">
        <w:rPr>
          <w:sz w:val="22"/>
          <w:szCs w:val="22"/>
        </w:rPr>
        <w:t>, d</w:t>
      </w:r>
      <w:r w:rsidR="00514CB0" w:rsidRPr="00A64D5D">
        <w:rPr>
          <w:sz w:val="22"/>
          <w:szCs w:val="22"/>
        </w:rPr>
        <w:t>espite assurances of more local decision-making</w:t>
      </w:r>
      <w:r w:rsidR="00F20EB5">
        <w:rPr>
          <w:sz w:val="22"/>
          <w:szCs w:val="22"/>
        </w:rPr>
        <w:t xml:space="preserve">. </w:t>
      </w:r>
      <w:r w:rsidR="00514CB0" w:rsidRPr="00A64D5D">
        <w:rPr>
          <w:sz w:val="22"/>
          <w:szCs w:val="22"/>
        </w:rPr>
        <w:t xml:space="preserve">For example, </w:t>
      </w:r>
      <w:r w:rsidR="00667A72">
        <w:rPr>
          <w:sz w:val="22"/>
          <w:szCs w:val="22"/>
        </w:rPr>
        <w:t xml:space="preserve">the White Paper calls for </w:t>
      </w:r>
      <w:r w:rsidR="00514CB0" w:rsidRPr="00A64D5D">
        <w:rPr>
          <w:sz w:val="22"/>
          <w:szCs w:val="22"/>
        </w:rPr>
        <w:t xml:space="preserve">the Secretary of State to </w:t>
      </w:r>
      <w:r w:rsidR="002F64A0">
        <w:rPr>
          <w:sz w:val="22"/>
          <w:szCs w:val="22"/>
        </w:rPr>
        <w:t xml:space="preserve">be allowed to </w:t>
      </w:r>
      <w:r w:rsidR="00514CB0" w:rsidRPr="00A64D5D">
        <w:rPr>
          <w:sz w:val="22"/>
          <w:szCs w:val="22"/>
        </w:rPr>
        <w:t>take a ‘joint’ role in the appointment of Chairs and CEOs to local NHS Boards.</w:t>
      </w:r>
      <w:r w:rsidR="00514CB0" w:rsidRPr="00A64D5D">
        <w:rPr>
          <w:rStyle w:val="EndnoteReference"/>
          <w:sz w:val="22"/>
          <w:szCs w:val="22"/>
        </w:rPr>
        <w:endnoteReference w:id="6"/>
      </w:r>
      <w:r w:rsidR="00514CB0" w:rsidRPr="00A64D5D">
        <w:rPr>
          <w:sz w:val="22"/>
          <w:szCs w:val="22"/>
        </w:rPr>
        <w:t xml:space="preserve"> </w:t>
      </w:r>
      <w:r w:rsidR="00CB3461">
        <w:rPr>
          <w:sz w:val="22"/>
          <w:szCs w:val="22"/>
        </w:rPr>
        <w:t xml:space="preserve">It also </w:t>
      </w:r>
      <w:r w:rsidR="005E3F80" w:rsidRPr="00A64D5D">
        <w:rPr>
          <w:sz w:val="22"/>
          <w:szCs w:val="22"/>
        </w:rPr>
        <w:t>proposes placing a duty to collaborate on NHS organisations and local authorities</w:t>
      </w:r>
      <w:r w:rsidR="00F20EB5">
        <w:rPr>
          <w:sz w:val="22"/>
          <w:szCs w:val="22"/>
        </w:rPr>
        <w:t xml:space="preserve"> within an</w:t>
      </w:r>
      <w:r w:rsidR="00903912" w:rsidRPr="00A64D5D">
        <w:rPr>
          <w:sz w:val="22"/>
          <w:szCs w:val="22"/>
        </w:rPr>
        <w:t xml:space="preserve"> ICS</w:t>
      </w:r>
      <w:r w:rsidR="005E3F80" w:rsidRPr="00A64D5D">
        <w:rPr>
          <w:sz w:val="22"/>
          <w:szCs w:val="22"/>
        </w:rPr>
        <w:t xml:space="preserve">, but gives the Secretary of State the ability to issue guidance as to what delivery of this duty means in practice.  </w:t>
      </w:r>
      <w:r w:rsidR="00514CB0" w:rsidRPr="00A64D5D">
        <w:rPr>
          <w:sz w:val="22"/>
          <w:szCs w:val="22"/>
        </w:rPr>
        <w:t>Moreover, while the Secretary of State will have</w:t>
      </w:r>
      <w:r w:rsidR="00F20EB5">
        <w:rPr>
          <w:sz w:val="22"/>
          <w:szCs w:val="22"/>
        </w:rPr>
        <w:t xml:space="preserve"> new powers to intervene at an earlier point</w:t>
      </w:r>
      <w:r w:rsidR="00514CB0" w:rsidRPr="00A64D5D">
        <w:rPr>
          <w:sz w:val="22"/>
          <w:szCs w:val="22"/>
        </w:rPr>
        <w:t xml:space="preserve"> in local </w:t>
      </w:r>
      <w:r w:rsidR="00514CB0" w:rsidRPr="00A64D5D">
        <w:rPr>
          <w:sz w:val="22"/>
          <w:szCs w:val="22"/>
        </w:rPr>
        <w:lastRenderedPageBreak/>
        <w:t>decisions about the opening or closing of NHS services (risking politicising local service decisions),</w:t>
      </w:r>
      <w:r w:rsidR="00514CB0" w:rsidRPr="00A64D5D">
        <w:rPr>
          <w:rStyle w:val="EndnoteReference"/>
          <w:sz w:val="22"/>
          <w:szCs w:val="22"/>
        </w:rPr>
        <w:endnoteReference w:id="7"/>
      </w:r>
      <w:r w:rsidR="00514CB0" w:rsidRPr="00A64D5D">
        <w:rPr>
          <w:sz w:val="22"/>
          <w:szCs w:val="22"/>
        </w:rPr>
        <w:t xml:space="preserve"> local authorities will lose their ability to refer reconfiguration decisions to the Secretary of State. This </w:t>
      </w:r>
      <w:r w:rsidR="005E3F80" w:rsidRPr="00A64D5D">
        <w:rPr>
          <w:sz w:val="22"/>
          <w:szCs w:val="22"/>
        </w:rPr>
        <w:t xml:space="preserve">loss of local accountability </w:t>
      </w:r>
      <w:r w:rsidR="00514CB0" w:rsidRPr="00A64D5D">
        <w:rPr>
          <w:sz w:val="22"/>
          <w:szCs w:val="22"/>
        </w:rPr>
        <w:t>compounds the democratic deficit referred to above.</w:t>
      </w:r>
    </w:p>
    <w:p w14:paraId="5589F1D7" w14:textId="77777777" w:rsidR="00514CB0" w:rsidRPr="00A64D5D" w:rsidRDefault="00514CB0" w:rsidP="00514CB0">
      <w:pPr>
        <w:rPr>
          <w:sz w:val="22"/>
          <w:szCs w:val="22"/>
        </w:rPr>
      </w:pPr>
    </w:p>
    <w:p w14:paraId="054082DC" w14:textId="20DD54DF" w:rsidR="00514CB0" w:rsidRDefault="00514CB0" w:rsidP="00514CB0">
      <w:pPr>
        <w:rPr>
          <w:rFonts w:eastAsia="Liberation Serif" w:cs="Liberation Serif"/>
          <w:i/>
          <w:sz w:val="22"/>
          <w:szCs w:val="22"/>
        </w:rPr>
      </w:pPr>
      <w:r w:rsidRPr="00CA1A76">
        <w:rPr>
          <w:i/>
          <w:sz w:val="22"/>
          <w:szCs w:val="22"/>
        </w:rPr>
        <w:t>3</w:t>
      </w:r>
      <w:r w:rsidR="00601CF9">
        <w:rPr>
          <w:i/>
          <w:sz w:val="22"/>
          <w:szCs w:val="22"/>
        </w:rPr>
        <w:t>.4</w:t>
      </w:r>
      <w:r w:rsidRPr="00CA1A76">
        <w:rPr>
          <w:i/>
          <w:sz w:val="22"/>
          <w:szCs w:val="22"/>
        </w:rPr>
        <w:t xml:space="preserve"> </w:t>
      </w:r>
      <w:r w:rsidRPr="00CA1A76">
        <w:rPr>
          <w:rFonts w:eastAsia="Liberation Serif" w:cs="Liberation Serif"/>
          <w:i/>
          <w:sz w:val="22"/>
          <w:szCs w:val="22"/>
        </w:rPr>
        <w:t>Prioritising constraint over collaboration</w:t>
      </w:r>
    </w:p>
    <w:p w14:paraId="6EE27A29" w14:textId="77777777" w:rsidR="00601CF9" w:rsidRPr="00CA1A76" w:rsidRDefault="00601CF9" w:rsidP="00514CB0">
      <w:pPr>
        <w:rPr>
          <w:rFonts w:eastAsia="Liberation Serif" w:cs="Liberation Serif"/>
          <w:i/>
          <w:sz w:val="22"/>
          <w:szCs w:val="22"/>
        </w:rPr>
      </w:pPr>
    </w:p>
    <w:p w14:paraId="16E8DCB5" w14:textId="07D50994" w:rsidR="00514CB0" w:rsidRPr="00A64D5D" w:rsidRDefault="00601CF9" w:rsidP="00514CB0">
      <w:pPr>
        <w:rPr>
          <w:sz w:val="22"/>
          <w:szCs w:val="22"/>
        </w:rPr>
      </w:pPr>
      <w:r>
        <w:rPr>
          <w:rFonts w:eastAsia="Liberation Serif" w:cs="Liberation Serif"/>
          <w:sz w:val="22"/>
          <w:szCs w:val="22"/>
        </w:rPr>
        <w:t xml:space="preserve">3.4.1 </w:t>
      </w:r>
      <w:r w:rsidR="005E3F80" w:rsidRPr="00A64D5D">
        <w:rPr>
          <w:rFonts w:eastAsia="Liberation Serif" w:cs="Liberation Serif"/>
          <w:sz w:val="22"/>
          <w:szCs w:val="22"/>
        </w:rPr>
        <w:t>As mentioned, t</w:t>
      </w:r>
      <w:r w:rsidR="00514CB0" w:rsidRPr="00A64D5D">
        <w:rPr>
          <w:rFonts w:eastAsia="Liberation Serif" w:cs="Liberation Serif"/>
          <w:sz w:val="22"/>
          <w:szCs w:val="22"/>
        </w:rPr>
        <w:t xml:space="preserve">he proposals aim to </w:t>
      </w:r>
      <w:r w:rsidR="00514CB0" w:rsidRPr="00A64D5D">
        <w:rPr>
          <w:sz w:val="22"/>
          <w:szCs w:val="22"/>
        </w:rPr>
        <w:t xml:space="preserve">ensure the compliance of </w:t>
      </w:r>
      <w:r w:rsidR="00362DC0" w:rsidRPr="00A64D5D">
        <w:rPr>
          <w:sz w:val="22"/>
          <w:szCs w:val="22"/>
        </w:rPr>
        <w:t xml:space="preserve">all NHS organisations </w:t>
      </w:r>
      <w:r w:rsidR="00514CB0" w:rsidRPr="00A64D5D">
        <w:rPr>
          <w:sz w:val="22"/>
          <w:szCs w:val="22"/>
        </w:rPr>
        <w:t>within an ICS through a legal duty to collaborate</w:t>
      </w:r>
      <w:r w:rsidR="00F20EB5">
        <w:rPr>
          <w:sz w:val="22"/>
          <w:szCs w:val="22"/>
        </w:rPr>
        <w:t>, notably</w:t>
      </w:r>
      <w:r w:rsidR="00514CB0" w:rsidRPr="00A64D5D">
        <w:rPr>
          <w:sz w:val="22"/>
          <w:szCs w:val="22"/>
        </w:rPr>
        <w:t xml:space="preserve"> on meeting the ICS’s financial objectives and</w:t>
      </w:r>
      <w:r w:rsidR="00362DC0" w:rsidRPr="00A64D5D">
        <w:rPr>
          <w:sz w:val="22"/>
          <w:szCs w:val="22"/>
        </w:rPr>
        <w:t xml:space="preserve"> “shared use of NHS resources”. This will bind</w:t>
      </w:r>
      <w:r w:rsidR="00514CB0" w:rsidRPr="00A64D5D">
        <w:rPr>
          <w:sz w:val="22"/>
          <w:szCs w:val="22"/>
        </w:rPr>
        <w:t xml:space="preserve"> providers </w:t>
      </w:r>
      <w:r w:rsidR="00362DC0" w:rsidRPr="00A64D5D">
        <w:rPr>
          <w:sz w:val="22"/>
          <w:szCs w:val="22"/>
        </w:rPr>
        <w:t xml:space="preserve">and local authorities </w:t>
      </w:r>
      <w:r w:rsidR="00514CB0" w:rsidRPr="00A64D5D">
        <w:rPr>
          <w:sz w:val="22"/>
          <w:szCs w:val="22"/>
        </w:rPr>
        <w:t xml:space="preserve">to a plan written by the ICS </w:t>
      </w:r>
      <w:r w:rsidR="00903912" w:rsidRPr="00A64D5D">
        <w:rPr>
          <w:sz w:val="22"/>
          <w:szCs w:val="22"/>
        </w:rPr>
        <w:t xml:space="preserve">NHS Body </w:t>
      </w:r>
      <w:r w:rsidR="00514CB0" w:rsidRPr="00A64D5D">
        <w:rPr>
          <w:sz w:val="22"/>
          <w:szCs w:val="22"/>
        </w:rPr>
        <w:t>and to financial controls linked to that plan.  In a context where the NHS five-year funding settlement for 2019/20 to 2023/24 was inadequate</w:t>
      </w:r>
      <w:r w:rsidR="00362DC0" w:rsidRPr="00A64D5D">
        <w:rPr>
          <w:sz w:val="22"/>
          <w:szCs w:val="22"/>
        </w:rPr>
        <w:t>,</w:t>
      </w:r>
      <w:r w:rsidR="00514CB0" w:rsidRPr="00A64D5D">
        <w:rPr>
          <w:sz w:val="22"/>
          <w:szCs w:val="22"/>
        </w:rPr>
        <w:t xml:space="preserve"> even pre-Covid</w:t>
      </w:r>
      <w:r w:rsidR="00362DC0" w:rsidRPr="00A64D5D">
        <w:rPr>
          <w:sz w:val="22"/>
          <w:szCs w:val="22"/>
        </w:rPr>
        <w:t>,</w:t>
      </w:r>
      <w:r w:rsidR="00514CB0" w:rsidRPr="00A64D5D">
        <w:rPr>
          <w:sz w:val="22"/>
          <w:szCs w:val="22"/>
        </w:rPr>
        <w:t xml:space="preserve"> to respond to all the challenges facing the NHS,</w:t>
      </w:r>
      <w:r w:rsidR="00514CB0" w:rsidRPr="00A64D5D">
        <w:rPr>
          <w:rStyle w:val="EndnoteReference"/>
          <w:sz w:val="22"/>
          <w:szCs w:val="22"/>
        </w:rPr>
        <w:endnoteReference w:id="8"/>
      </w:r>
      <w:r w:rsidR="00514CB0" w:rsidRPr="00A64D5D">
        <w:rPr>
          <w:sz w:val="22"/>
          <w:szCs w:val="22"/>
        </w:rPr>
        <w:t xml:space="preserve"> the proposed legal duty could be read as a duty </w:t>
      </w:r>
      <w:r w:rsidR="00F20EB5">
        <w:rPr>
          <w:sz w:val="22"/>
          <w:szCs w:val="22"/>
        </w:rPr>
        <w:t>to accept cutbacks in resources such as funding</w:t>
      </w:r>
      <w:r w:rsidR="00514CB0" w:rsidRPr="00A64D5D">
        <w:rPr>
          <w:sz w:val="22"/>
          <w:szCs w:val="22"/>
        </w:rPr>
        <w:t xml:space="preserve"> without question.</w:t>
      </w:r>
    </w:p>
    <w:p w14:paraId="62F6B55D" w14:textId="77777777" w:rsidR="005D0B6C" w:rsidRPr="00A64D5D" w:rsidRDefault="005D0B6C" w:rsidP="00514CB0">
      <w:pPr>
        <w:rPr>
          <w:sz w:val="22"/>
          <w:szCs w:val="22"/>
        </w:rPr>
      </w:pPr>
    </w:p>
    <w:p w14:paraId="41A53A48" w14:textId="660DC254" w:rsidR="005D0B6C" w:rsidRDefault="00601CF9" w:rsidP="005D0B6C">
      <w:pPr>
        <w:rPr>
          <w:rFonts w:eastAsia="Liberation Serif" w:cs="Liberation Serif"/>
          <w:i/>
          <w:sz w:val="22"/>
          <w:szCs w:val="22"/>
        </w:rPr>
      </w:pPr>
      <w:r>
        <w:rPr>
          <w:i/>
          <w:sz w:val="22"/>
          <w:szCs w:val="22"/>
        </w:rPr>
        <w:t>3.5</w:t>
      </w:r>
      <w:r w:rsidR="005D0B6C" w:rsidRPr="00CA1A76">
        <w:rPr>
          <w:i/>
          <w:sz w:val="22"/>
          <w:szCs w:val="22"/>
        </w:rPr>
        <w:t xml:space="preserve"> </w:t>
      </w:r>
      <w:r w:rsidR="005D0B6C" w:rsidRPr="00CA1A76">
        <w:rPr>
          <w:rFonts w:eastAsia="Liberation Serif" w:cs="Liberation Serif"/>
          <w:i/>
          <w:sz w:val="22"/>
          <w:szCs w:val="22"/>
        </w:rPr>
        <w:t>The shift in NHS priorities from meeting all individual clinical need to the</w:t>
      </w:r>
      <w:r w:rsidR="005D0B6C" w:rsidRPr="00A64D5D">
        <w:rPr>
          <w:rFonts w:eastAsia="Liberation Serif" w:cs="Liberation Serif"/>
          <w:sz w:val="22"/>
          <w:szCs w:val="22"/>
        </w:rPr>
        <w:t xml:space="preserve"> </w:t>
      </w:r>
      <w:r w:rsidR="005D0B6C" w:rsidRPr="00CA1A76">
        <w:rPr>
          <w:rFonts w:eastAsia="Liberation Serif" w:cs="Liberation Serif"/>
          <w:i/>
          <w:sz w:val="22"/>
          <w:szCs w:val="22"/>
        </w:rPr>
        <w:t xml:space="preserve">management of patient ‘demand’ </w:t>
      </w:r>
    </w:p>
    <w:p w14:paraId="0175777A" w14:textId="77777777" w:rsidR="00601CF9" w:rsidRPr="00CA1A76" w:rsidRDefault="00601CF9" w:rsidP="005D0B6C">
      <w:pPr>
        <w:rPr>
          <w:rFonts w:eastAsia="Liberation Serif" w:cs="Liberation Serif"/>
          <w:i/>
          <w:sz w:val="22"/>
          <w:szCs w:val="22"/>
        </w:rPr>
      </w:pPr>
    </w:p>
    <w:p w14:paraId="707AB520" w14:textId="38E5101F" w:rsidR="007C1374" w:rsidRPr="00A64D5D" w:rsidRDefault="00601CF9" w:rsidP="005D0B6C">
      <w:pPr>
        <w:rPr>
          <w:sz w:val="22"/>
          <w:szCs w:val="22"/>
        </w:rPr>
      </w:pPr>
      <w:r>
        <w:rPr>
          <w:rFonts w:eastAsia="Liberation Serif" w:cs="Liberation Serif"/>
          <w:sz w:val="22"/>
          <w:szCs w:val="22"/>
        </w:rPr>
        <w:t xml:space="preserve">3.5.1 </w:t>
      </w:r>
      <w:r w:rsidR="005D0B6C" w:rsidRPr="00A64D5D">
        <w:rPr>
          <w:rFonts w:eastAsia="Liberation Serif" w:cs="Liberation Serif"/>
          <w:sz w:val="22"/>
          <w:szCs w:val="22"/>
        </w:rPr>
        <w:t xml:space="preserve">The White Paper strongly </w:t>
      </w:r>
      <w:r w:rsidR="00903912" w:rsidRPr="00A64D5D">
        <w:rPr>
          <w:rFonts w:eastAsia="Liberation Serif" w:cs="Liberation Serif"/>
          <w:sz w:val="22"/>
          <w:szCs w:val="22"/>
        </w:rPr>
        <w:t>supports a</w:t>
      </w:r>
      <w:r w:rsidR="005D0B6C" w:rsidRPr="00A64D5D">
        <w:rPr>
          <w:rFonts w:eastAsia="Liberation Serif" w:cs="Liberation Serif"/>
          <w:sz w:val="22"/>
          <w:szCs w:val="22"/>
        </w:rPr>
        <w:t xml:space="preserve"> move to </w:t>
      </w:r>
      <w:r w:rsidR="005D0B6C" w:rsidRPr="00A64D5D">
        <w:rPr>
          <w:sz w:val="22"/>
          <w:szCs w:val="22"/>
        </w:rPr>
        <w:t>‘population health management’ (PHM) to decide priorities and plan health services</w:t>
      </w:r>
      <w:r w:rsidR="00362DC0" w:rsidRPr="00A64D5D">
        <w:rPr>
          <w:sz w:val="22"/>
          <w:szCs w:val="22"/>
        </w:rPr>
        <w:t>, despite little evidence for PHM’s effectiveness</w:t>
      </w:r>
      <w:r w:rsidR="005D0B6C" w:rsidRPr="00A64D5D">
        <w:rPr>
          <w:sz w:val="22"/>
          <w:szCs w:val="22"/>
        </w:rPr>
        <w:t>. PHM originates in the USA where the term usually refers to individuals covered by a health insurance plan</w:t>
      </w:r>
      <w:r w:rsidR="00F20EB5">
        <w:rPr>
          <w:sz w:val="22"/>
          <w:szCs w:val="22"/>
        </w:rPr>
        <w:t>,</w:t>
      </w:r>
      <w:r w:rsidR="005D0B6C" w:rsidRPr="00A64D5D">
        <w:rPr>
          <w:sz w:val="22"/>
          <w:szCs w:val="22"/>
        </w:rPr>
        <w:t xml:space="preserve"> or registered with a particular health provider</w:t>
      </w:r>
      <w:r w:rsidR="00F20EB5">
        <w:rPr>
          <w:sz w:val="22"/>
          <w:szCs w:val="22"/>
        </w:rPr>
        <w:t xml:space="preserve">. It is </w:t>
      </w:r>
      <w:r w:rsidR="005D0B6C" w:rsidRPr="00A64D5D">
        <w:rPr>
          <w:sz w:val="22"/>
          <w:szCs w:val="22"/>
        </w:rPr>
        <w:t>used, for example, for data-driven chronic disease management and lifestyle or health behaviour interventions</w:t>
      </w:r>
      <w:r w:rsidR="007C1374" w:rsidRPr="00A64D5D">
        <w:rPr>
          <w:sz w:val="22"/>
          <w:szCs w:val="22"/>
        </w:rPr>
        <w:t>.</w:t>
      </w:r>
    </w:p>
    <w:p w14:paraId="09369E5E" w14:textId="77777777" w:rsidR="007C1374" w:rsidRPr="00A64D5D" w:rsidRDefault="007C1374" w:rsidP="005D0B6C">
      <w:pPr>
        <w:rPr>
          <w:sz w:val="22"/>
          <w:szCs w:val="22"/>
        </w:rPr>
      </w:pPr>
    </w:p>
    <w:p w14:paraId="138E0F05" w14:textId="3E1B3638" w:rsidR="007C1374" w:rsidRPr="00A64D5D" w:rsidRDefault="00601CF9" w:rsidP="005D0B6C">
      <w:pPr>
        <w:rPr>
          <w:sz w:val="22"/>
          <w:szCs w:val="22"/>
        </w:rPr>
      </w:pPr>
      <w:r>
        <w:rPr>
          <w:sz w:val="22"/>
          <w:szCs w:val="22"/>
        </w:rPr>
        <w:t>3.5.2 V</w:t>
      </w:r>
      <w:r w:rsidR="005D0B6C" w:rsidRPr="00A64D5D">
        <w:rPr>
          <w:sz w:val="22"/>
          <w:szCs w:val="22"/>
        </w:rPr>
        <w:t>ery broadly, PHM redirects focus from the provision of universal, comprehensive health care for all to the use of vast data sets to identify patients and potential patients within an ICS who are most at health risk (and who are most expensive), with a view to developing health improvement targets</w:t>
      </w:r>
      <w:r w:rsidR="00A7631A" w:rsidRPr="00A64D5D">
        <w:rPr>
          <w:sz w:val="22"/>
          <w:szCs w:val="22"/>
        </w:rPr>
        <w:t>.</w:t>
      </w:r>
      <w:r w:rsidR="005D0B6C" w:rsidRPr="00A64D5D">
        <w:rPr>
          <w:sz w:val="22"/>
          <w:szCs w:val="22"/>
        </w:rPr>
        <w:t xml:space="preserve"> </w:t>
      </w:r>
      <w:r w:rsidR="00F320EB" w:rsidRPr="00A64D5D">
        <w:rPr>
          <w:sz w:val="22"/>
          <w:szCs w:val="22"/>
        </w:rPr>
        <w:t>This approach allows an ICS to prioritise attempts to reduce patient ‘demand’ over clinical need</w:t>
      </w:r>
      <w:r w:rsidR="007C1374" w:rsidRPr="00A64D5D">
        <w:rPr>
          <w:sz w:val="22"/>
          <w:szCs w:val="22"/>
        </w:rPr>
        <w:t>:</w:t>
      </w:r>
      <w:r w:rsidR="005D0B6C" w:rsidRPr="00A64D5D">
        <w:rPr>
          <w:rStyle w:val="EndnoteReference"/>
          <w:sz w:val="22"/>
          <w:szCs w:val="22"/>
        </w:rPr>
        <w:endnoteReference w:id="9"/>
      </w:r>
      <w:r w:rsidR="005D0B6C" w:rsidRPr="00A64D5D">
        <w:rPr>
          <w:sz w:val="22"/>
          <w:szCs w:val="22"/>
        </w:rPr>
        <w:t xml:space="preserve"> </w:t>
      </w:r>
      <w:r w:rsidR="00F320EB" w:rsidRPr="00A64D5D">
        <w:rPr>
          <w:sz w:val="22"/>
          <w:szCs w:val="22"/>
        </w:rPr>
        <w:t xml:space="preserve">data sets are used to determine how much care will be provided and </w:t>
      </w:r>
      <w:r w:rsidR="00F20EB5">
        <w:rPr>
          <w:sz w:val="22"/>
          <w:szCs w:val="22"/>
        </w:rPr>
        <w:t xml:space="preserve">to </w:t>
      </w:r>
      <w:r w:rsidR="00F320EB" w:rsidRPr="00A64D5D">
        <w:rPr>
          <w:sz w:val="22"/>
          <w:szCs w:val="22"/>
        </w:rPr>
        <w:t>set budgets accordingly so t</w:t>
      </w:r>
      <w:r w:rsidR="00F20EB5">
        <w:rPr>
          <w:sz w:val="22"/>
          <w:szCs w:val="22"/>
        </w:rPr>
        <w:t xml:space="preserve">hat NHS services can be reduced, with the </w:t>
      </w:r>
      <w:r w:rsidR="00CB3461">
        <w:rPr>
          <w:sz w:val="22"/>
          <w:szCs w:val="22"/>
        </w:rPr>
        <w:t xml:space="preserve">growing </w:t>
      </w:r>
      <w:r w:rsidR="00F20EB5">
        <w:rPr>
          <w:sz w:val="22"/>
          <w:szCs w:val="22"/>
        </w:rPr>
        <w:t>likelihood that those who can afford it will resort to using the private sector.</w:t>
      </w:r>
      <w:r w:rsidR="007C1374" w:rsidRPr="00A64D5D">
        <w:rPr>
          <w:sz w:val="22"/>
          <w:szCs w:val="22"/>
        </w:rPr>
        <w:t xml:space="preserve"> </w:t>
      </w:r>
    </w:p>
    <w:p w14:paraId="5AA0FD4E" w14:textId="77777777" w:rsidR="007C1374" w:rsidRPr="00A64D5D" w:rsidRDefault="007C1374" w:rsidP="005D0B6C">
      <w:pPr>
        <w:rPr>
          <w:sz w:val="22"/>
          <w:szCs w:val="22"/>
        </w:rPr>
      </w:pPr>
    </w:p>
    <w:p w14:paraId="7AB9A163" w14:textId="34FBCD93" w:rsidR="005D0B6C" w:rsidRPr="00A64D5D" w:rsidRDefault="00601CF9" w:rsidP="005D0B6C">
      <w:pPr>
        <w:rPr>
          <w:sz w:val="22"/>
          <w:szCs w:val="22"/>
        </w:rPr>
      </w:pPr>
      <w:r>
        <w:rPr>
          <w:sz w:val="22"/>
          <w:szCs w:val="22"/>
        </w:rPr>
        <w:t xml:space="preserve">3.5.3 </w:t>
      </w:r>
      <w:r w:rsidR="007C1374" w:rsidRPr="00A64D5D">
        <w:rPr>
          <w:sz w:val="22"/>
          <w:szCs w:val="22"/>
        </w:rPr>
        <w:t xml:space="preserve">The focus on digital and data-based systems </w:t>
      </w:r>
      <w:r w:rsidR="0016633A" w:rsidRPr="00A64D5D">
        <w:rPr>
          <w:sz w:val="22"/>
          <w:szCs w:val="22"/>
        </w:rPr>
        <w:t xml:space="preserve">is also creating </w:t>
      </w:r>
      <w:r w:rsidR="00CB3461">
        <w:rPr>
          <w:sz w:val="22"/>
          <w:szCs w:val="22"/>
        </w:rPr>
        <w:t xml:space="preserve">burgeoning </w:t>
      </w:r>
      <w:r w:rsidR="00362DC0" w:rsidRPr="00A64D5D">
        <w:rPr>
          <w:sz w:val="22"/>
          <w:szCs w:val="22"/>
        </w:rPr>
        <w:t xml:space="preserve">opportunities for profitable </w:t>
      </w:r>
      <w:r w:rsidR="007C1374" w:rsidRPr="00A64D5D">
        <w:rPr>
          <w:rFonts w:cs="Arial"/>
          <w:color w:val="222222"/>
          <w:sz w:val="22"/>
          <w:szCs w:val="22"/>
        </w:rPr>
        <w:t>contracts for private and multinational companies</w:t>
      </w:r>
      <w:r w:rsidR="0016633A" w:rsidRPr="00A64D5D">
        <w:rPr>
          <w:rFonts w:cs="Arial"/>
          <w:color w:val="222222"/>
          <w:sz w:val="22"/>
          <w:szCs w:val="22"/>
        </w:rPr>
        <w:t xml:space="preserve"> (</w:t>
      </w:r>
      <w:r w:rsidR="0016633A" w:rsidRPr="00A64D5D">
        <w:rPr>
          <w:rFonts w:cs="Arial"/>
          <w:sz w:val="22"/>
          <w:szCs w:val="22"/>
        </w:rPr>
        <w:t xml:space="preserve">see </w:t>
      </w:r>
      <w:r w:rsidR="00362DC0" w:rsidRPr="00A64D5D">
        <w:rPr>
          <w:rFonts w:cs="Arial"/>
          <w:sz w:val="22"/>
          <w:szCs w:val="22"/>
        </w:rPr>
        <w:t>6,</w:t>
      </w:r>
      <w:r w:rsidR="0016633A" w:rsidRPr="00A64D5D">
        <w:rPr>
          <w:rFonts w:cs="Arial"/>
          <w:sz w:val="22"/>
          <w:szCs w:val="22"/>
        </w:rPr>
        <w:t xml:space="preserve"> below</w:t>
      </w:r>
      <w:r w:rsidR="0016633A" w:rsidRPr="00A64D5D">
        <w:rPr>
          <w:rFonts w:cs="Arial"/>
          <w:color w:val="222222"/>
          <w:sz w:val="22"/>
          <w:szCs w:val="22"/>
        </w:rPr>
        <w:t xml:space="preserve">). </w:t>
      </w:r>
    </w:p>
    <w:p w14:paraId="37E44F1F" w14:textId="77777777" w:rsidR="005D0B6C" w:rsidRPr="00A64D5D" w:rsidRDefault="005D0B6C" w:rsidP="005D0B6C">
      <w:pPr>
        <w:rPr>
          <w:sz w:val="22"/>
          <w:szCs w:val="22"/>
        </w:rPr>
      </w:pPr>
    </w:p>
    <w:p w14:paraId="2525B087" w14:textId="1391781A" w:rsidR="00341570" w:rsidRDefault="00601CF9" w:rsidP="005D0B6C">
      <w:pPr>
        <w:rPr>
          <w:rFonts w:eastAsia="Liberation Serif" w:cs="Liberation Serif"/>
          <w:i/>
          <w:sz w:val="22"/>
          <w:szCs w:val="22"/>
        </w:rPr>
      </w:pPr>
      <w:r>
        <w:rPr>
          <w:rFonts w:eastAsia="Liberation Serif" w:cs="Liberation Serif"/>
          <w:i/>
          <w:sz w:val="22"/>
          <w:szCs w:val="22"/>
        </w:rPr>
        <w:t xml:space="preserve">3.6 </w:t>
      </w:r>
      <w:r w:rsidR="005D0B6C" w:rsidRPr="00CA1A76">
        <w:rPr>
          <w:rFonts w:eastAsia="Liberation Serif" w:cs="Liberation Serif"/>
          <w:i/>
          <w:sz w:val="22"/>
          <w:szCs w:val="22"/>
        </w:rPr>
        <w:t>The risk of giving lip service to addressing health inequalities</w:t>
      </w:r>
    </w:p>
    <w:p w14:paraId="12752B1C" w14:textId="77777777" w:rsidR="00601CF9" w:rsidRPr="00B14E4B" w:rsidRDefault="00601CF9" w:rsidP="005D0B6C">
      <w:pPr>
        <w:rPr>
          <w:rFonts w:eastAsia="Liberation Serif" w:cs="Liberation Serif"/>
          <w:i/>
          <w:sz w:val="22"/>
          <w:szCs w:val="22"/>
        </w:rPr>
      </w:pPr>
    </w:p>
    <w:p w14:paraId="6873BCCA" w14:textId="4EB928FA" w:rsidR="005D0B6C" w:rsidRPr="00B14E4B" w:rsidRDefault="00601CF9" w:rsidP="005D0B6C">
      <w:pPr>
        <w:rPr>
          <w:sz w:val="22"/>
          <w:szCs w:val="22"/>
        </w:rPr>
      </w:pPr>
      <w:r>
        <w:rPr>
          <w:sz w:val="22"/>
          <w:szCs w:val="22"/>
        </w:rPr>
        <w:t xml:space="preserve">3.6.1 </w:t>
      </w:r>
      <w:r w:rsidR="00341570">
        <w:rPr>
          <w:sz w:val="22"/>
          <w:szCs w:val="22"/>
        </w:rPr>
        <w:t xml:space="preserve">NHSE </w:t>
      </w:r>
      <w:r w:rsidR="00B14E4B">
        <w:rPr>
          <w:sz w:val="22"/>
          <w:szCs w:val="22"/>
        </w:rPr>
        <w:t xml:space="preserve">expects ICSs will </w:t>
      </w:r>
      <w:r w:rsidR="005D0B6C" w:rsidRPr="00A64D5D">
        <w:rPr>
          <w:sz w:val="22"/>
          <w:szCs w:val="22"/>
        </w:rPr>
        <w:t>use PHM to reduce health inequalities</w:t>
      </w:r>
      <w:r w:rsidR="00362DC0" w:rsidRPr="00A64D5D">
        <w:rPr>
          <w:sz w:val="22"/>
          <w:szCs w:val="22"/>
        </w:rPr>
        <w:t>.</w:t>
      </w:r>
      <w:r w:rsidR="005D0B6C" w:rsidRPr="00A64D5D">
        <w:rPr>
          <w:rStyle w:val="EndnoteReference"/>
          <w:rFonts w:eastAsia="Times New Roman" w:cs="Times New Roman"/>
          <w:color w:val="202A30"/>
          <w:sz w:val="22"/>
          <w:szCs w:val="22"/>
          <w:shd w:val="clear" w:color="auto" w:fill="FFFFFF"/>
        </w:rPr>
        <w:endnoteReference w:id="10"/>
      </w:r>
      <w:r w:rsidR="005D0B6C" w:rsidRPr="00A64D5D">
        <w:rPr>
          <w:rFonts w:eastAsia="Times New Roman" w:cs="Times New Roman"/>
          <w:color w:val="202A30"/>
          <w:sz w:val="22"/>
          <w:szCs w:val="22"/>
          <w:shd w:val="clear" w:color="auto" w:fill="FFFFFF"/>
        </w:rPr>
        <w:t xml:space="preserve"> However, PHM has been criticised for </w:t>
      </w:r>
      <w:r w:rsidR="005D0B6C" w:rsidRPr="00A64D5D">
        <w:rPr>
          <w:rFonts w:eastAsia="Times New Roman" w:cs="Arial"/>
          <w:color w:val="222222"/>
          <w:sz w:val="22"/>
          <w:szCs w:val="22"/>
          <w:shd w:val="clear" w:color="auto" w:fill="FFFFFF"/>
        </w:rPr>
        <w:t>taking a micro level approach to health inequalities rather than acting on the broader social determinants of health.</w:t>
      </w:r>
      <w:r w:rsidR="005D0B6C" w:rsidRPr="00A64D5D">
        <w:rPr>
          <w:rStyle w:val="EndnoteReference"/>
          <w:rFonts w:eastAsia="Times New Roman" w:cs="Times New Roman"/>
          <w:color w:val="202A30"/>
          <w:sz w:val="22"/>
          <w:szCs w:val="22"/>
          <w:shd w:val="clear" w:color="auto" w:fill="FFFFFF"/>
        </w:rPr>
        <w:endnoteReference w:id="11"/>
      </w:r>
      <w:r w:rsidR="005D0B6C" w:rsidRPr="00A64D5D">
        <w:rPr>
          <w:rFonts w:eastAsia="Times New Roman" w:cs="Arial"/>
          <w:color w:val="222222"/>
          <w:sz w:val="22"/>
          <w:szCs w:val="22"/>
          <w:shd w:val="clear" w:color="auto" w:fill="FFFFFF"/>
        </w:rPr>
        <w:t xml:space="preserve"> </w:t>
      </w:r>
      <w:r w:rsidR="00B14E4B">
        <w:rPr>
          <w:rFonts w:eastAsia="Times New Roman" w:cs="Arial"/>
          <w:color w:val="222222"/>
          <w:sz w:val="22"/>
          <w:szCs w:val="22"/>
          <w:shd w:val="clear" w:color="auto" w:fill="FFFFFF"/>
        </w:rPr>
        <w:t>W</w:t>
      </w:r>
      <w:r w:rsidR="00B14E4B" w:rsidRPr="00A64D5D">
        <w:rPr>
          <w:rFonts w:eastAsia="Times New Roman" w:cs="Arial"/>
          <w:color w:val="222222"/>
          <w:sz w:val="22"/>
          <w:szCs w:val="22"/>
          <w:shd w:val="clear" w:color="auto" w:fill="FFFFFF"/>
        </w:rPr>
        <w:t xml:space="preserve">hile </w:t>
      </w:r>
      <w:r w:rsidR="00B14E4B" w:rsidRPr="00A64D5D">
        <w:rPr>
          <w:rFonts w:eastAsia="Liberation Serif" w:cs="Liberation Serif"/>
          <w:sz w:val="22"/>
          <w:szCs w:val="22"/>
        </w:rPr>
        <w:t xml:space="preserve">the Government wants to </w:t>
      </w:r>
      <w:r w:rsidR="00B14E4B" w:rsidRPr="00A64D5D">
        <w:rPr>
          <w:sz w:val="22"/>
          <w:szCs w:val="22"/>
        </w:rPr>
        <w:t>bring local government resources under the co</w:t>
      </w:r>
      <w:r w:rsidR="00B14E4B">
        <w:rPr>
          <w:sz w:val="22"/>
          <w:szCs w:val="22"/>
        </w:rPr>
        <w:t>ntrol of the NHS in order to redress health inequalities and improve</w:t>
      </w:r>
      <w:r w:rsidR="00B14E4B" w:rsidRPr="00A64D5D">
        <w:rPr>
          <w:sz w:val="22"/>
          <w:szCs w:val="22"/>
        </w:rPr>
        <w:t xml:space="preserve"> social care, public health and mental health, there are no </w:t>
      </w:r>
      <w:r w:rsidR="00B14E4B">
        <w:rPr>
          <w:sz w:val="22"/>
          <w:szCs w:val="22"/>
        </w:rPr>
        <w:t xml:space="preserve">specific </w:t>
      </w:r>
      <w:r w:rsidR="00B14E4B" w:rsidRPr="00A64D5D">
        <w:rPr>
          <w:sz w:val="22"/>
          <w:szCs w:val="22"/>
        </w:rPr>
        <w:t xml:space="preserve">plans to address these issues. </w:t>
      </w:r>
    </w:p>
    <w:p w14:paraId="280FA730" w14:textId="7B8DAD5B" w:rsidR="00514CB0" w:rsidRPr="00A64D5D" w:rsidRDefault="00514CB0" w:rsidP="00514CB0">
      <w:pPr>
        <w:rPr>
          <w:sz w:val="22"/>
          <w:szCs w:val="22"/>
        </w:rPr>
      </w:pPr>
    </w:p>
    <w:p w14:paraId="31DDE9E0" w14:textId="5D1B0641" w:rsidR="00A7631A" w:rsidRDefault="00601CF9" w:rsidP="00A7631A">
      <w:pPr>
        <w:rPr>
          <w:i/>
          <w:sz w:val="22"/>
          <w:szCs w:val="22"/>
        </w:rPr>
      </w:pPr>
      <w:r>
        <w:rPr>
          <w:sz w:val="22"/>
          <w:szCs w:val="22"/>
        </w:rPr>
        <w:t xml:space="preserve">3.7 </w:t>
      </w:r>
      <w:r w:rsidR="00A7631A" w:rsidRPr="00CA1A76">
        <w:rPr>
          <w:i/>
          <w:sz w:val="22"/>
          <w:szCs w:val="22"/>
        </w:rPr>
        <w:t>The increased presence and influence of private companies afforded by ICSs</w:t>
      </w:r>
    </w:p>
    <w:p w14:paraId="340395F5" w14:textId="77777777" w:rsidR="00601CF9" w:rsidRPr="00CA1A76" w:rsidRDefault="00601CF9" w:rsidP="00A7631A">
      <w:pPr>
        <w:rPr>
          <w:rFonts w:eastAsia="Liberation Serif" w:cs="Liberation Serif"/>
          <w:i/>
          <w:sz w:val="22"/>
          <w:szCs w:val="22"/>
        </w:rPr>
      </w:pPr>
    </w:p>
    <w:p w14:paraId="296216CF" w14:textId="70CBDB67" w:rsidR="00A7631A" w:rsidRPr="00A64D5D" w:rsidRDefault="00601CF9" w:rsidP="00A7631A">
      <w:pPr>
        <w:rPr>
          <w:rFonts w:cs="Arial"/>
          <w:sz w:val="22"/>
          <w:szCs w:val="22"/>
        </w:rPr>
      </w:pPr>
      <w:r>
        <w:rPr>
          <w:sz w:val="22"/>
          <w:szCs w:val="22"/>
        </w:rPr>
        <w:t xml:space="preserve">3.7.1 </w:t>
      </w:r>
      <w:r w:rsidR="00A7631A" w:rsidRPr="00A64D5D">
        <w:rPr>
          <w:sz w:val="22"/>
          <w:szCs w:val="22"/>
        </w:rPr>
        <w:t xml:space="preserve">The White Paper enables </w:t>
      </w:r>
      <w:r w:rsidR="00903912" w:rsidRPr="00A64D5D">
        <w:rPr>
          <w:sz w:val="22"/>
          <w:szCs w:val="22"/>
        </w:rPr>
        <w:t xml:space="preserve">ICS Boards </w:t>
      </w:r>
      <w:r w:rsidR="00A7631A" w:rsidRPr="00A64D5D">
        <w:rPr>
          <w:sz w:val="22"/>
          <w:szCs w:val="22"/>
        </w:rPr>
        <w:t xml:space="preserve">to include representatives from unaccountable private companies, allowing them to influence which services are delivered, where, and by whom.  The </w:t>
      </w:r>
      <w:r w:rsidR="00750219">
        <w:rPr>
          <w:sz w:val="22"/>
          <w:szCs w:val="22"/>
        </w:rPr>
        <w:t xml:space="preserve">Board of the </w:t>
      </w:r>
      <w:r w:rsidR="00A7631A" w:rsidRPr="00A64D5D">
        <w:rPr>
          <w:sz w:val="22"/>
          <w:szCs w:val="22"/>
        </w:rPr>
        <w:t xml:space="preserve">ICS </w:t>
      </w:r>
      <w:r w:rsidR="00903912" w:rsidRPr="00A64D5D">
        <w:rPr>
          <w:sz w:val="22"/>
          <w:szCs w:val="22"/>
        </w:rPr>
        <w:t xml:space="preserve">NHS </w:t>
      </w:r>
      <w:r w:rsidR="00A7631A" w:rsidRPr="00A64D5D">
        <w:rPr>
          <w:sz w:val="22"/>
          <w:szCs w:val="22"/>
        </w:rPr>
        <w:t xml:space="preserve">Body can include unspecified “others determined locally”, while the ICS Health and Care Partnership has an </w:t>
      </w:r>
      <w:r w:rsidR="00A7631A" w:rsidRPr="00A64D5D">
        <w:rPr>
          <w:sz w:val="22"/>
          <w:szCs w:val="22"/>
        </w:rPr>
        <w:lastRenderedPageBreak/>
        <w:t>unspecified governance structure that “could be drawn from a number of sources including … independent sector partners and social care providers”. Thus there are two routes for priv</w:t>
      </w:r>
      <w:r w:rsidR="00750219">
        <w:rPr>
          <w:sz w:val="22"/>
          <w:szCs w:val="22"/>
        </w:rPr>
        <w:t>ate sector organisations to play a role in ICS decision-making and governance</w:t>
      </w:r>
      <w:r w:rsidR="00A7631A" w:rsidRPr="00A64D5D">
        <w:rPr>
          <w:sz w:val="22"/>
          <w:szCs w:val="22"/>
        </w:rPr>
        <w:t xml:space="preserve">. </w:t>
      </w:r>
      <w:r w:rsidR="00A7631A" w:rsidRPr="00A64D5D">
        <w:rPr>
          <w:rFonts w:cs="Arial"/>
          <w:sz w:val="22"/>
          <w:szCs w:val="22"/>
        </w:rPr>
        <w:t xml:space="preserve">According to NHSE,  </w:t>
      </w:r>
    </w:p>
    <w:p w14:paraId="3311D446" w14:textId="77777777" w:rsidR="00A7631A" w:rsidRPr="00A64D5D" w:rsidRDefault="00A7631A" w:rsidP="00A7631A">
      <w:pPr>
        <w:ind w:left="720"/>
        <w:rPr>
          <w:sz w:val="22"/>
          <w:szCs w:val="22"/>
        </w:rPr>
      </w:pPr>
      <w:r w:rsidRPr="00A64D5D">
        <w:rPr>
          <w:rFonts w:cs="Arial"/>
          <w:sz w:val="22"/>
          <w:szCs w:val="22"/>
        </w:rPr>
        <w:t xml:space="preserve">“Provider organisations and </w:t>
      </w:r>
      <w:r w:rsidRPr="00B14E4B">
        <w:rPr>
          <w:rFonts w:cs="Arial"/>
          <w:i/>
          <w:iCs/>
          <w:sz w:val="22"/>
          <w:szCs w:val="22"/>
        </w:rPr>
        <w:t>others</w:t>
      </w:r>
      <w:r w:rsidRPr="00A64D5D">
        <w:rPr>
          <w:rFonts w:cs="Arial"/>
          <w:iCs/>
          <w:sz w:val="22"/>
          <w:szCs w:val="22"/>
        </w:rPr>
        <w:t xml:space="preserve"> (our emphasis)</w:t>
      </w:r>
      <w:r w:rsidRPr="00A64D5D">
        <w:rPr>
          <w:rFonts w:cs="Arial"/>
          <w:sz w:val="22"/>
          <w:szCs w:val="22"/>
        </w:rPr>
        <w:t>, through partnerships at place and in provider collaboratives, become a principal engine of transformation and should agree the future service model and structure of provision jointly through ICS governance”.</w:t>
      </w:r>
      <w:r w:rsidRPr="00A64D5D">
        <w:rPr>
          <w:rStyle w:val="EndnoteReference"/>
          <w:rFonts w:cs="Arial"/>
          <w:sz w:val="22"/>
          <w:szCs w:val="22"/>
        </w:rPr>
        <w:endnoteReference w:id="12"/>
      </w:r>
    </w:p>
    <w:p w14:paraId="4E09496F" w14:textId="77777777" w:rsidR="00A7631A" w:rsidRPr="00A64D5D" w:rsidRDefault="00A7631A" w:rsidP="00A7631A">
      <w:pPr>
        <w:rPr>
          <w:sz w:val="22"/>
          <w:szCs w:val="22"/>
        </w:rPr>
      </w:pPr>
    </w:p>
    <w:p w14:paraId="55531684" w14:textId="57ACFEEB" w:rsidR="00A7631A" w:rsidRPr="00A64D5D" w:rsidRDefault="00601CF9" w:rsidP="00A7631A">
      <w:pPr>
        <w:rPr>
          <w:rFonts w:eastAsia="Times New Roman" w:cs="Times New Roman"/>
          <w:sz w:val="22"/>
          <w:szCs w:val="22"/>
        </w:rPr>
      </w:pPr>
      <w:r>
        <w:rPr>
          <w:rFonts w:eastAsia="Liberation Serif" w:cs="Liberation Serif"/>
          <w:sz w:val="22"/>
          <w:szCs w:val="22"/>
        </w:rPr>
        <w:t xml:space="preserve">3.7.2 </w:t>
      </w:r>
      <w:r w:rsidR="00A7631A" w:rsidRPr="00A64D5D">
        <w:rPr>
          <w:rFonts w:eastAsia="Liberation Serif" w:cs="Liberation Serif"/>
          <w:sz w:val="22"/>
          <w:szCs w:val="22"/>
        </w:rPr>
        <w:t xml:space="preserve">In addition, </w:t>
      </w:r>
      <w:r w:rsidR="00A7631A" w:rsidRPr="00A64D5D">
        <w:rPr>
          <w:sz w:val="22"/>
          <w:szCs w:val="22"/>
        </w:rPr>
        <w:t>ICSs are hugely dependant for their development and on-going management on organisations accredited by NHSE and listed in the Health Systems Support Framework (HSSF)</w:t>
      </w:r>
      <w:r w:rsidR="00A7631A" w:rsidRPr="00A64D5D">
        <w:rPr>
          <w:rFonts w:eastAsia="Times New Roman" w:cs="Times New Roman"/>
          <w:color w:val="333333"/>
          <w:sz w:val="22"/>
          <w:szCs w:val="22"/>
          <w:shd w:val="clear" w:color="auto" w:fill="FFFFFF"/>
        </w:rPr>
        <w:t xml:space="preserve">. Currently, the HSSF lists 83 ‘third party suppliers’, the vast majority of which are private companies, and most of these are multinationals such as Deloitte, Centene, Optum and McKinsey. Many of these companies are particularly well placed to win contracts </w:t>
      </w:r>
      <w:r w:rsidR="00B14E4B">
        <w:rPr>
          <w:rFonts w:eastAsia="Times New Roman" w:cs="Times New Roman"/>
          <w:color w:val="333333"/>
          <w:sz w:val="22"/>
          <w:szCs w:val="22"/>
          <w:shd w:val="clear" w:color="auto" w:fill="FFFFFF"/>
        </w:rPr>
        <w:t xml:space="preserve">in response to </w:t>
      </w:r>
      <w:r w:rsidR="00A7631A" w:rsidRPr="00A64D5D">
        <w:rPr>
          <w:rFonts w:eastAsia="Times New Roman" w:cs="Times New Roman"/>
          <w:color w:val="333333"/>
          <w:sz w:val="22"/>
          <w:szCs w:val="22"/>
          <w:shd w:val="clear" w:color="auto" w:fill="FFFFFF"/>
        </w:rPr>
        <w:t>ICSs</w:t>
      </w:r>
      <w:r w:rsidR="00750219">
        <w:rPr>
          <w:rFonts w:eastAsia="Times New Roman" w:cs="Times New Roman"/>
          <w:color w:val="333333"/>
          <w:sz w:val="22"/>
          <w:szCs w:val="22"/>
          <w:shd w:val="clear" w:color="auto" w:fill="FFFFFF"/>
        </w:rPr>
        <w:t xml:space="preserve">’ </w:t>
      </w:r>
      <w:r w:rsidR="00B14E4B">
        <w:rPr>
          <w:rFonts w:eastAsia="Times New Roman" w:cs="Times New Roman"/>
          <w:color w:val="333333"/>
          <w:sz w:val="22"/>
          <w:szCs w:val="22"/>
          <w:shd w:val="clear" w:color="auto" w:fill="FFFFFF"/>
        </w:rPr>
        <w:t xml:space="preserve">dependence on </w:t>
      </w:r>
      <w:r w:rsidR="00A7631A" w:rsidRPr="00A64D5D">
        <w:rPr>
          <w:rFonts w:eastAsia="Times New Roman" w:cs="Times New Roman"/>
          <w:color w:val="333333"/>
          <w:sz w:val="22"/>
          <w:szCs w:val="22"/>
          <w:shd w:val="clear" w:color="auto" w:fill="FFFFFF"/>
        </w:rPr>
        <w:t>digital technology</w:t>
      </w:r>
      <w:r w:rsidR="00382AD7" w:rsidRPr="00A64D5D">
        <w:rPr>
          <w:rFonts w:eastAsia="Times New Roman" w:cs="Times New Roman"/>
          <w:color w:val="333333"/>
          <w:sz w:val="22"/>
          <w:szCs w:val="22"/>
          <w:shd w:val="clear" w:color="auto" w:fill="FFFFFF"/>
        </w:rPr>
        <w:t>,</w:t>
      </w:r>
      <w:r w:rsidR="00A7631A" w:rsidRPr="00A64D5D">
        <w:rPr>
          <w:rFonts w:eastAsia="Times New Roman" w:cs="Times New Roman"/>
          <w:color w:val="333333"/>
          <w:sz w:val="22"/>
          <w:szCs w:val="22"/>
          <w:shd w:val="clear" w:color="auto" w:fill="FFFFFF"/>
        </w:rPr>
        <w:t xml:space="preserve"> including tools for population health ma</w:t>
      </w:r>
      <w:r w:rsidR="00750219">
        <w:rPr>
          <w:rFonts w:eastAsia="Times New Roman" w:cs="Times New Roman"/>
          <w:color w:val="333333"/>
          <w:sz w:val="22"/>
          <w:szCs w:val="22"/>
          <w:shd w:val="clear" w:color="auto" w:fill="FFFFFF"/>
        </w:rPr>
        <w:t>nagement. Among other concerns</w:t>
      </w:r>
      <w:r w:rsidR="00382AD7" w:rsidRPr="00A64D5D">
        <w:rPr>
          <w:rFonts w:eastAsia="Times New Roman" w:cs="Times New Roman"/>
          <w:color w:val="333333"/>
          <w:sz w:val="22"/>
          <w:szCs w:val="22"/>
          <w:shd w:val="clear" w:color="auto" w:fill="FFFFFF"/>
        </w:rPr>
        <w:t xml:space="preserve">, </w:t>
      </w:r>
      <w:r w:rsidR="00A7631A" w:rsidRPr="00A64D5D">
        <w:rPr>
          <w:rFonts w:eastAsia="Times New Roman" w:cs="Times New Roman"/>
          <w:color w:val="333333"/>
          <w:sz w:val="22"/>
          <w:szCs w:val="22"/>
          <w:shd w:val="clear" w:color="auto" w:fill="FFFFFF"/>
        </w:rPr>
        <w:t>this</w:t>
      </w:r>
      <w:r w:rsidR="00A7631A" w:rsidRPr="00A64D5D">
        <w:rPr>
          <w:sz w:val="22"/>
          <w:szCs w:val="22"/>
        </w:rPr>
        <w:t xml:space="preserve"> allows a growing number of corporations access to vast amounts of patient data.</w:t>
      </w:r>
    </w:p>
    <w:p w14:paraId="381126C7" w14:textId="77777777" w:rsidR="00A7631A" w:rsidRPr="00A64D5D" w:rsidRDefault="00A7631A" w:rsidP="00A7631A">
      <w:pPr>
        <w:rPr>
          <w:sz w:val="22"/>
          <w:szCs w:val="22"/>
        </w:rPr>
      </w:pPr>
    </w:p>
    <w:p w14:paraId="645BA76F" w14:textId="2ACC5533" w:rsidR="0016633A" w:rsidRDefault="00601CF9" w:rsidP="0016633A">
      <w:pPr>
        <w:rPr>
          <w:rFonts w:eastAsia="Liberation Serif" w:cs="Liberation Serif"/>
          <w:i/>
          <w:sz w:val="22"/>
          <w:szCs w:val="22"/>
        </w:rPr>
      </w:pPr>
      <w:r>
        <w:rPr>
          <w:i/>
          <w:sz w:val="22"/>
          <w:szCs w:val="22"/>
        </w:rPr>
        <w:t xml:space="preserve">3.8 </w:t>
      </w:r>
      <w:r w:rsidR="0016633A" w:rsidRPr="00CA1A76">
        <w:rPr>
          <w:rFonts w:eastAsia="Liberation Serif" w:cs="Liberation Serif"/>
          <w:i/>
          <w:sz w:val="22"/>
          <w:szCs w:val="22"/>
        </w:rPr>
        <w:t xml:space="preserve">Implications of repealing Section 75 of the Health and Social Care Act (2012)  </w:t>
      </w:r>
    </w:p>
    <w:p w14:paraId="089CB39C" w14:textId="77777777" w:rsidR="00601CF9" w:rsidRPr="00CA1A76" w:rsidRDefault="00601CF9" w:rsidP="0016633A">
      <w:pPr>
        <w:rPr>
          <w:rFonts w:eastAsia="Liberation Serif" w:cs="Liberation Serif"/>
          <w:i/>
          <w:sz w:val="22"/>
          <w:szCs w:val="22"/>
        </w:rPr>
      </w:pPr>
    </w:p>
    <w:p w14:paraId="2B332A63" w14:textId="7831D52F" w:rsidR="0016633A" w:rsidRPr="00A64D5D" w:rsidRDefault="00601CF9" w:rsidP="0016633A">
      <w:pPr>
        <w:rPr>
          <w:rFonts w:eastAsia="Times New Roman"/>
          <w:sz w:val="22"/>
          <w:szCs w:val="22"/>
        </w:rPr>
      </w:pPr>
      <w:r>
        <w:rPr>
          <w:sz w:val="22"/>
          <w:szCs w:val="22"/>
        </w:rPr>
        <w:t xml:space="preserve">3.8.1 </w:t>
      </w:r>
      <w:r w:rsidR="0016633A" w:rsidRPr="00A64D5D">
        <w:rPr>
          <w:sz w:val="22"/>
          <w:szCs w:val="22"/>
        </w:rPr>
        <w:t>The White Paper’s proposals call for Section 75 of the Health and Social Care Act (HSCA 2012) and associated regulations to be repealed. This entails revoking the Procurement, Patient Choice and Competition Regulations (2013), so transforming the NHS from a regulated market to an unregulated one</w:t>
      </w:r>
      <w:r w:rsidR="00382AD7" w:rsidRPr="00A64D5D">
        <w:rPr>
          <w:sz w:val="22"/>
          <w:szCs w:val="22"/>
        </w:rPr>
        <w:t>, with unforeseeable consequences</w:t>
      </w:r>
      <w:r w:rsidR="0016633A" w:rsidRPr="00A64D5D">
        <w:rPr>
          <w:rFonts w:eastAsia="Times New Roman"/>
          <w:color w:val="000000"/>
          <w:sz w:val="22"/>
          <w:szCs w:val="22"/>
        </w:rPr>
        <w:t>.</w:t>
      </w:r>
      <w:r w:rsidR="0016633A" w:rsidRPr="00A64D5D">
        <w:rPr>
          <w:rStyle w:val="EndnoteReference"/>
          <w:rFonts w:eastAsia="Times New Roman"/>
          <w:color w:val="000000"/>
          <w:sz w:val="22"/>
          <w:szCs w:val="22"/>
        </w:rPr>
        <w:endnoteReference w:id="13"/>
      </w:r>
    </w:p>
    <w:p w14:paraId="64EDE25E" w14:textId="77777777" w:rsidR="0016633A" w:rsidRPr="00A64D5D" w:rsidRDefault="0016633A" w:rsidP="0016633A">
      <w:pPr>
        <w:rPr>
          <w:sz w:val="22"/>
          <w:szCs w:val="22"/>
        </w:rPr>
      </w:pPr>
    </w:p>
    <w:p w14:paraId="15121827" w14:textId="7BED595E" w:rsidR="0016633A" w:rsidRPr="00A64D5D" w:rsidRDefault="00601CF9" w:rsidP="0016633A">
      <w:pPr>
        <w:rPr>
          <w:sz w:val="22"/>
          <w:szCs w:val="22"/>
        </w:rPr>
      </w:pPr>
      <w:r>
        <w:rPr>
          <w:sz w:val="22"/>
          <w:szCs w:val="22"/>
        </w:rPr>
        <w:t xml:space="preserve">3.8.2 </w:t>
      </w:r>
      <w:r w:rsidR="0016633A" w:rsidRPr="00A64D5D">
        <w:rPr>
          <w:sz w:val="22"/>
          <w:szCs w:val="22"/>
        </w:rPr>
        <w:t xml:space="preserve">Repealing Section 75 also removes the NHS from Public Contract Regulations (2015), so allowing commissioners within an ICS to dispense with formal procurement processes. This has implications for the proper administration of public funds: </w:t>
      </w:r>
    </w:p>
    <w:p w14:paraId="72354823" w14:textId="77777777" w:rsidR="0016633A" w:rsidRPr="00A64D5D" w:rsidRDefault="0016633A" w:rsidP="0016633A">
      <w:pPr>
        <w:ind w:left="720"/>
        <w:rPr>
          <w:sz w:val="22"/>
          <w:szCs w:val="22"/>
        </w:rPr>
      </w:pPr>
      <w:r w:rsidRPr="00A64D5D">
        <w:rPr>
          <w:sz w:val="22"/>
          <w:szCs w:val="22"/>
        </w:rPr>
        <w:t xml:space="preserve">“… </w:t>
      </w:r>
      <w:r w:rsidRPr="00A64D5D">
        <w:rPr>
          <w:rFonts w:eastAsia="Times New Roman" w:cs="Times New Roman"/>
          <w:color w:val="000000"/>
          <w:sz w:val="22"/>
          <w:szCs w:val="22"/>
        </w:rPr>
        <w:t>the procurement rules applicable to NHS expenditure seek to ensure the integrity of the procedures for the award of contracts and the achievement of value for money in a manner consistent with the patients’ interest. Suppressing procurement-related requirements could thus result in an erosion of the integrity and the efficiency of the system and, ultimately, in risks of maladministration of public funds.”</w:t>
      </w:r>
      <w:r w:rsidRPr="00A64D5D">
        <w:rPr>
          <w:rStyle w:val="EndnoteReference"/>
          <w:sz w:val="22"/>
          <w:szCs w:val="22"/>
        </w:rPr>
        <w:endnoteReference w:id="14"/>
      </w:r>
      <w:r w:rsidRPr="00A64D5D">
        <w:rPr>
          <w:sz w:val="22"/>
          <w:szCs w:val="22"/>
        </w:rPr>
        <w:t xml:space="preserve"> </w:t>
      </w:r>
    </w:p>
    <w:p w14:paraId="011D5ADC" w14:textId="77777777" w:rsidR="0016633A" w:rsidRPr="00A64D5D" w:rsidRDefault="0016633A" w:rsidP="0016633A">
      <w:pPr>
        <w:rPr>
          <w:sz w:val="22"/>
          <w:szCs w:val="22"/>
        </w:rPr>
      </w:pPr>
    </w:p>
    <w:p w14:paraId="5E334C03" w14:textId="74868E0B" w:rsidR="0016633A" w:rsidRPr="00A64D5D" w:rsidRDefault="00601CF9" w:rsidP="0016633A">
      <w:pPr>
        <w:rPr>
          <w:sz w:val="22"/>
          <w:szCs w:val="22"/>
        </w:rPr>
      </w:pPr>
      <w:r>
        <w:rPr>
          <w:sz w:val="22"/>
          <w:szCs w:val="22"/>
        </w:rPr>
        <w:t xml:space="preserve">3.8.3 </w:t>
      </w:r>
      <w:r w:rsidR="0016633A" w:rsidRPr="00A64D5D">
        <w:rPr>
          <w:sz w:val="22"/>
          <w:szCs w:val="22"/>
        </w:rPr>
        <w:t xml:space="preserve">Removing procurement regulations </w:t>
      </w:r>
      <w:r w:rsidR="00AC3065">
        <w:rPr>
          <w:sz w:val="22"/>
          <w:szCs w:val="22"/>
        </w:rPr>
        <w:t>will also remove</w:t>
      </w:r>
      <w:r w:rsidR="0016633A" w:rsidRPr="00A64D5D">
        <w:rPr>
          <w:sz w:val="22"/>
          <w:szCs w:val="22"/>
        </w:rPr>
        <w:t xml:space="preserve"> safeguards regarding</w:t>
      </w:r>
    </w:p>
    <w:p w14:paraId="70F801BB" w14:textId="77777777" w:rsidR="0016633A" w:rsidRPr="00A64D5D" w:rsidRDefault="0016633A" w:rsidP="0016633A">
      <w:pPr>
        <w:pStyle w:val="ListParagraph"/>
        <w:numPr>
          <w:ilvl w:val="0"/>
          <w:numId w:val="8"/>
        </w:numPr>
        <w:rPr>
          <w:sz w:val="22"/>
          <w:szCs w:val="22"/>
        </w:rPr>
      </w:pPr>
      <w:r w:rsidRPr="00A64D5D">
        <w:rPr>
          <w:sz w:val="22"/>
          <w:szCs w:val="22"/>
        </w:rPr>
        <w:t xml:space="preserve">compliance with ILO Conventions (fundamental workers’ rights), </w:t>
      </w:r>
    </w:p>
    <w:p w14:paraId="756744C9" w14:textId="77777777" w:rsidR="0016633A" w:rsidRPr="00A64D5D" w:rsidRDefault="0016633A" w:rsidP="0016633A">
      <w:pPr>
        <w:pStyle w:val="ListParagraph"/>
        <w:numPr>
          <w:ilvl w:val="0"/>
          <w:numId w:val="8"/>
        </w:numPr>
        <w:rPr>
          <w:sz w:val="22"/>
          <w:szCs w:val="22"/>
        </w:rPr>
      </w:pPr>
      <w:r w:rsidRPr="00A64D5D">
        <w:rPr>
          <w:sz w:val="22"/>
          <w:szCs w:val="22"/>
        </w:rPr>
        <w:t xml:space="preserve">equalities, </w:t>
      </w:r>
    </w:p>
    <w:p w14:paraId="15C6DBEB" w14:textId="77777777" w:rsidR="0016633A" w:rsidRPr="00A64D5D" w:rsidRDefault="0016633A" w:rsidP="0016633A">
      <w:pPr>
        <w:pStyle w:val="ListParagraph"/>
        <w:numPr>
          <w:ilvl w:val="0"/>
          <w:numId w:val="8"/>
        </w:numPr>
        <w:rPr>
          <w:sz w:val="22"/>
          <w:szCs w:val="22"/>
        </w:rPr>
      </w:pPr>
      <w:r w:rsidRPr="00A64D5D">
        <w:rPr>
          <w:sz w:val="22"/>
          <w:szCs w:val="22"/>
        </w:rPr>
        <w:t>any social and environmental impact, and</w:t>
      </w:r>
    </w:p>
    <w:p w14:paraId="08EF7475" w14:textId="77777777" w:rsidR="0016633A" w:rsidRPr="00A64D5D" w:rsidRDefault="0016633A" w:rsidP="0016633A">
      <w:pPr>
        <w:pStyle w:val="ListParagraph"/>
        <w:numPr>
          <w:ilvl w:val="0"/>
          <w:numId w:val="8"/>
        </w:numPr>
        <w:rPr>
          <w:sz w:val="22"/>
          <w:szCs w:val="22"/>
        </w:rPr>
      </w:pPr>
      <w:r w:rsidRPr="00A64D5D">
        <w:rPr>
          <w:sz w:val="22"/>
          <w:szCs w:val="22"/>
        </w:rPr>
        <w:t xml:space="preserve">contractors’ previous poor performance, and whether they are adequately equipped to do the job. </w:t>
      </w:r>
    </w:p>
    <w:p w14:paraId="527420FC" w14:textId="77777777" w:rsidR="00C307FF" w:rsidRPr="00A64D5D" w:rsidRDefault="00C307FF" w:rsidP="00C307FF">
      <w:pPr>
        <w:rPr>
          <w:sz w:val="22"/>
          <w:szCs w:val="22"/>
        </w:rPr>
      </w:pPr>
    </w:p>
    <w:p w14:paraId="50FD0C4B" w14:textId="69BDBC93" w:rsidR="00C307FF" w:rsidRPr="00A64D5D" w:rsidRDefault="00601CF9" w:rsidP="00C307FF">
      <w:pPr>
        <w:rPr>
          <w:sz w:val="22"/>
          <w:szCs w:val="22"/>
        </w:rPr>
      </w:pPr>
      <w:r>
        <w:rPr>
          <w:sz w:val="22"/>
          <w:szCs w:val="22"/>
        </w:rPr>
        <w:t xml:space="preserve">3.8.4 </w:t>
      </w:r>
      <w:r w:rsidR="00C307FF" w:rsidRPr="00A64D5D">
        <w:rPr>
          <w:sz w:val="22"/>
          <w:szCs w:val="22"/>
        </w:rPr>
        <w:t>The only context in which we would support the repeal of Section 75 would be the ending of commercial contracting as the method of procurement for health services.</w:t>
      </w:r>
    </w:p>
    <w:p w14:paraId="655354D0" w14:textId="77777777" w:rsidR="0016633A" w:rsidRPr="00A64D5D" w:rsidRDefault="0016633A" w:rsidP="0016633A">
      <w:pPr>
        <w:rPr>
          <w:sz w:val="22"/>
          <w:szCs w:val="22"/>
        </w:rPr>
      </w:pPr>
    </w:p>
    <w:p w14:paraId="76311C18" w14:textId="038782B5" w:rsidR="0016633A" w:rsidRDefault="00601CF9" w:rsidP="0016633A">
      <w:pPr>
        <w:rPr>
          <w:i/>
          <w:sz w:val="22"/>
          <w:szCs w:val="22"/>
        </w:rPr>
      </w:pPr>
      <w:r>
        <w:rPr>
          <w:i/>
          <w:sz w:val="22"/>
          <w:szCs w:val="22"/>
        </w:rPr>
        <w:t>3.9</w:t>
      </w:r>
      <w:r w:rsidR="00A64D5D" w:rsidRPr="00CA1A76">
        <w:rPr>
          <w:i/>
          <w:sz w:val="22"/>
          <w:szCs w:val="22"/>
        </w:rPr>
        <w:t xml:space="preserve"> </w:t>
      </w:r>
      <w:r w:rsidR="0016633A" w:rsidRPr="00CA1A76">
        <w:rPr>
          <w:i/>
          <w:sz w:val="22"/>
          <w:szCs w:val="22"/>
        </w:rPr>
        <w:t xml:space="preserve">Deregulation and </w:t>
      </w:r>
      <w:r w:rsidR="00A64D5D" w:rsidRPr="00CA1A76">
        <w:rPr>
          <w:i/>
          <w:sz w:val="22"/>
          <w:szCs w:val="22"/>
        </w:rPr>
        <w:t>cronyism</w:t>
      </w:r>
    </w:p>
    <w:p w14:paraId="7EA30A19" w14:textId="77777777" w:rsidR="00601CF9" w:rsidRPr="00CA1A76" w:rsidRDefault="00601CF9" w:rsidP="0016633A">
      <w:pPr>
        <w:rPr>
          <w:i/>
          <w:sz w:val="22"/>
          <w:szCs w:val="22"/>
        </w:rPr>
      </w:pPr>
    </w:p>
    <w:p w14:paraId="51A60867" w14:textId="00ADFEEC" w:rsidR="0016633A" w:rsidRPr="00A64D5D" w:rsidRDefault="00601CF9" w:rsidP="0016633A">
      <w:pPr>
        <w:rPr>
          <w:sz w:val="22"/>
          <w:szCs w:val="22"/>
        </w:rPr>
      </w:pPr>
      <w:r>
        <w:rPr>
          <w:sz w:val="22"/>
          <w:szCs w:val="22"/>
        </w:rPr>
        <w:t xml:space="preserve">3.9.1 </w:t>
      </w:r>
      <w:r w:rsidR="0016633A" w:rsidRPr="00A64D5D">
        <w:rPr>
          <w:sz w:val="22"/>
          <w:szCs w:val="22"/>
        </w:rPr>
        <w:t xml:space="preserve">While we are by no means in favour of unnecessary red tape, the Covid pandemic has shown how unregulated procurement can lead to cronyism </w:t>
      </w:r>
      <w:r w:rsidR="00A64D5D" w:rsidRPr="00A64D5D">
        <w:rPr>
          <w:sz w:val="22"/>
          <w:szCs w:val="22"/>
        </w:rPr>
        <w:t xml:space="preserve">and corruption </w:t>
      </w:r>
      <w:r w:rsidR="0016633A" w:rsidRPr="00A64D5D">
        <w:rPr>
          <w:sz w:val="22"/>
          <w:szCs w:val="22"/>
        </w:rPr>
        <w:t xml:space="preserve">in what remains a competitive market. </w:t>
      </w:r>
      <w:r w:rsidR="00C307FF" w:rsidRPr="00A64D5D">
        <w:rPr>
          <w:sz w:val="22"/>
          <w:szCs w:val="22"/>
        </w:rPr>
        <w:t>The White Paper’s proposal to scrap Section 75 of the HSCA (2012) simply deregulates without proposing any alternative controls to prevent corruption</w:t>
      </w:r>
      <w:r w:rsidR="00A64D5D" w:rsidRPr="00A64D5D">
        <w:rPr>
          <w:sz w:val="22"/>
          <w:szCs w:val="22"/>
        </w:rPr>
        <w:t>.</w:t>
      </w:r>
    </w:p>
    <w:p w14:paraId="1A9ACAF5" w14:textId="77777777" w:rsidR="00A64D5D" w:rsidRPr="00A64D5D" w:rsidRDefault="00A64D5D" w:rsidP="0016633A">
      <w:pPr>
        <w:rPr>
          <w:sz w:val="22"/>
          <w:szCs w:val="22"/>
        </w:rPr>
      </w:pPr>
    </w:p>
    <w:p w14:paraId="699D2BA3" w14:textId="099ACA87" w:rsidR="0016633A" w:rsidRDefault="00601CF9" w:rsidP="0016633A">
      <w:pPr>
        <w:pStyle w:val="NormalWeb"/>
        <w:spacing w:before="0" w:beforeAutospacing="0" w:after="0" w:afterAutospacing="0"/>
        <w:textAlignment w:val="baseline"/>
        <w:rPr>
          <w:rFonts w:asciiTheme="minorHAnsi" w:hAnsiTheme="minorHAnsi"/>
          <w:i/>
          <w:color w:val="333333"/>
          <w:sz w:val="22"/>
          <w:szCs w:val="22"/>
        </w:rPr>
      </w:pPr>
      <w:r>
        <w:rPr>
          <w:rFonts w:asciiTheme="minorHAnsi" w:hAnsiTheme="minorHAnsi"/>
          <w:i/>
          <w:color w:val="333333"/>
          <w:sz w:val="22"/>
          <w:szCs w:val="22"/>
        </w:rPr>
        <w:t>3.10</w:t>
      </w:r>
      <w:r w:rsidR="0016633A" w:rsidRPr="00CA1A76">
        <w:rPr>
          <w:rFonts w:asciiTheme="minorHAnsi" w:hAnsiTheme="minorHAnsi"/>
          <w:i/>
          <w:color w:val="333333"/>
          <w:sz w:val="22"/>
          <w:szCs w:val="22"/>
        </w:rPr>
        <w:t xml:space="preserve"> Undermining the NHS workforce</w:t>
      </w:r>
    </w:p>
    <w:p w14:paraId="4FC75FE6" w14:textId="77777777" w:rsidR="00601CF9" w:rsidRPr="00CA1A76" w:rsidRDefault="00601CF9" w:rsidP="0016633A">
      <w:pPr>
        <w:pStyle w:val="NormalWeb"/>
        <w:spacing w:before="0" w:beforeAutospacing="0" w:after="0" w:afterAutospacing="0"/>
        <w:textAlignment w:val="baseline"/>
        <w:rPr>
          <w:rFonts w:asciiTheme="minorHAnsi" w:hAnsiTheme="minorHAnsi"/>
          <w:i/>
          <w:color w:val="333333"/>
          <w:sz w:val="22"/>
          <w:szCs w:val="22"/>
        </w:rPr>
      </w:pPr>
    </w:p>
    <w:p w14:paraId="5975FCC4" w14:textId="1258658A" w:rsidR="00A64D5D" w:rsidRPr="00A64D5D" w:rsidRDefault="00601CF9" w:rsidP="0016633A">
      <w:pPr>
        <w:pStyle w:val="NormalWeb"/>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3.10.1</w:t>
      </w:r>
      <w:r w:rsidR="0016633A" w:rsidRPr="00A64D5D">
        <w:rPr>
          <w:rFonts w:asciiTheme="minorHAnsi" w:hAnsiTheme="minorHAnsi"/>
          <w:color w:val="333333"/>
          <w:sz w:val="22"/>
          <w:szCs w:val="22"/>
        </w:rPr>
        <w:t>The Government proposals suggest that ICSs will play an increasingly important role in reshaping the NHS workforce, with new employment models, and ‘career pathways’ for employees that span the entire system. The workforce will be ‘agile’ and ready to be flexibly deployed, with a new system of accreditation to allow staff to be sent to different sites and organisati</w:t>
      </w:r>
      <w:r w:rsidR="00554D1C">
        <w:rPr>
          <w:rFonts w:asciiTheme="minorHAnsi" w:hAnsiTheme="minorHAnsi"/>
          <w:color w:val="333333"/>
          <w:sz w:val="22"/>
          <w:szCs w:val="22"/>
        </w:rPr>
        <w:t>ons across (and beyond) the ICS</w:t>
      </w:r>
      <w:r w:rsidR="0016633A" w:rsidRPr="00A64D5D">
        <w:rPr>
          <w:rFonts w:asciiTheme="minorHAnsi" w:hAnsiTheme="minorHAnsi"/>
          <w:color w:val="333333"/>
          <w:sz w:val="22"/>
          <w:szCs w:val="22"/>
        </w:rPr>
        <w:t xml:space="preserve">. </w:t>
      </w:r>
    </w:p>
    <w:p w14:paraId="1F2A5363" w14:textId="77777777" w:rsidR="00A64D5D" w:rsidRPr="00A64D5D" w:rsidRDefault="00A64D5D" w:rsidP="0016633A">
      <w:pPr>
        <w:pStyle w:val="NormalWeb"/>
        <w:spacing w:before="0" w:beforeAutospacing="0" w:after="0" w:afterAutospacing="0"/>
        <w:textAlignment w:val="baseline"/>
        <w:rPr>
          <w:rFonts w:asciiTheme="minorHAnsi" w:hAnsiTheme="minorHAnsi"/>
          <w:color w:val="333333"/>
          <w:sz w:val="22"/>
          <w:szCs w:val="22"/>
        </w:rPr>
      </w:pPr>
    </w:p>
    <w:p w14:paraId="4D9FEC59" w14:textId="643C1BB6" w:rsidR="0016633A" w:rsidRPr="00A64D5D" w:rsidRDefault="00601CF9" w:rsidP="0016633A">
      <w:pPr>
        <w:pStyle w:val="NormalWeb"/>
        <w:spacing w:before="0" w:beforeAutospacing="0" w:after="0" w:afterAutospacing="0"/>
        <w:textAlignment w:val="baseline"/>
        <w:rPr>
          <w:rFonts w:asciiTheme="minorHAnsi" w:hAnsiTheme="minorHAnsi"/>
          <w:color w:val="333333"/>
          <w:sz w:val="22"/>
          <w:szCs w:val="22"/>
        </w:rPr>
      </w:pPr>
      <w:r>
        <w:rPr>
          <w:rFonts w:asciiTheme="minorHAnsi" w:hAnsiTheme="minorHAnsi"/>
          <w:color w:val="333333"/>
          <w:sz w:val="22"/>
          <w:szCs w:val="22"/>
        </w:rPr>
        <w:t xml:space="preserve">3.10.2 </w:t>
      </w:r>
      <w:r w:rsidR="0016633A" w:rsidRPr="00A64D5D">
        <w:rPr>
          <w:rFonts w:asciiTheme="minorHAnsi" w:hAnsiTheme="minorHAnsi"/>
          <w:color w:val="333333"/>
          <w:sz w:val="22"/>
          <w:szCs w:val="22"/>
        </w:rPr>
        <w:t>There is no mention of the potential implications of these proposals and whether, for example, they mark the end of the existing Agenda for Change scheme that ensures equal pay for equal work. Significantly, the NHSE engagement exercise “Developing the payment system for 20/21” suggests</w:t>
      </w:r>
      <w:r w:rsidR="00354B1A">
        <w:rPr>
          <w:rFonts w:asciiTheme="minorHAnsi" w:hAnsiTheme="minorHAnsi"/>
          <w:color w:val="333333"/>
          <w:sz w:val="22"/>
          <w:szCs w:val="22"/>
        </w:rPr>
        <w:t xml:space="preserve"> that</w:t>
      </w:r>
      <w:r w:rsidR="0016633A" w:rsidRPr="00A64D5D">
        <w:rPr>
          <w:rFonts w:asciiTheme="minorHAnsi" w:hAnsiTheme="minorHAnsi"/>
          <w:color w:val="333333"/>
          <w:sz w:val="22"/>
          <w:szCs w:val="22"/>
        </w:rPr>
        <w:t xml:space="preserve"> “the majority of activity will be funded through locally agreed fixed payments rather than national prices”, which again calls into question national agreements on wages, terms and conditions.</w:t>
      </w:r>
      <w:r w:rsidR="0016633A" w:rsidRPr="00A64D5D">
        <w:rPr>
          <w:rStyle w:val="EndnoteReference"/>
          <w:rFonts w:asciiTheme="minorHAnsi" w:hAnsiTheme="minorHAnsi"/>
          <w:color w:val="333333"/>
          <w:sz w:val="22"/>
          <w:szCs w:val="22"/>
        </w:rPr>
        <w:endnoteReference w:id="15"/>
      </w:r>
      <w:r w:rsidR="00A64D5D" w:rsidRPr="00A64D5D">
        <w:rPr>
          <w:rFonts w:asciiTheme="minorHAnsi" w:hAnsiTheme="minorHAnsi"/>
          <w:color w:val="333333"/>
          <w:sz w:val="22"/>
          <w:szCs w:val="22"/>
        </w:rPr>
        <w:t xml:space="preserve"> In addition, t</w:t>
      </w:r>
      <w:r w:rsidR="0016633A" w:rsidRPr="00A64D5D">
        <w:rPr>
          <w:rFonts w:asciiTheme="minorHAnsi" w:hAnsiTheme="minorHAnsi"/>
          <w:color w:val="333333"/>
          <w:sz w:val="22"/>
          <w:szCs w:val="22"/>
        </w:rPr>
        <w:t xml:space="preserve">here is no consideration in the White Paper’s proposals of how demands for ‘agility’ could undermine team building or place huge pressures on staff expected to migrate across an ICS. </w:t>
      </w:r>
      <w:r w:rsidR="00354B1A">
        <w:rPr>
          <w:rFonts w:asciiTheme="minorHAnsi" w:hAnsiTheme="minorHAnsi"/>
          <w:color w:val="333333"/>
          <w:sz w:val="22"/>
          <w:szCs w:val="22"/>
        </w:rPr>
        <w:t xml:space="preserve">We have already indicated how large an ICS’s geographical footprint can be. </w:t>
      </w:r>
    </w:p>
    <w:p w14:paraId="0B3AEDE6" w14:textId="77777777" w:rsidR="0016633A" w:rsidRPr="00A64D5D" w:rsidRDefault="0016633A" w:rsidP="0016633A">
      <w:pPr>
        <w:pStyle w:val="NormalWeb"/>
        <w:spacing w:before="0" w:beforeAutospacing="0" w:after="0" w:afterAutospacing="0"/>
        <w:textAlignment w:val="baseline"/>
        <w:rPr>
          <w:rFonts w:asciiTheme="minorHAnsi" w:hAnsiTheme="minorHAnsi"/>
          <w:color w:val="333333"/>
          <w:sz w:val="22"/>
          <w:szCs w:val="22"/>
        </w:rPr>
      </w:pPr>
    </w:p>
    <w:p w14:paraId="6EC542AE" w14:textId="70FFFCA1" w:rsidR="0016633A" w:rsidRPr="00A64D5D" w:rsidRDefault="00601CF9" w:rsidP="0016633A">
      <w:pPr>
        <w:pStyle w:val="NormalWeb"/>
        <w:spacing w:before="0" w:beforeAutospacing="0" w:after="0" w:afterAutospacing="0"/>
        <w:textAlignment w:val="baseline"/>
        <w:rPr>
          <w:rFonts w:asciiTheme="minorHAnsi" w:hAnsiTheme="minorHAnsi"/>
          <w:sz w:val="22"/>
          <w:szCs w:val="22"/>
        </w:rPr>
      </w:pPr>
      <w:r>
        <w:rPr>
          <w:rFonts w:asciiTheme="minorHAnsi" w:hAnsiTheme="minorHAnsi"/>
          <w:color w:val="333333"/>
          <w:sz w:val="22"/>
          <w:szCs w:val="22"/>
        </w:rPr>
        <w:t xml:space="preserve">3.10.3 </w:t>
      </w:r>
      <w:r w:rsidR="0016633A" w:rsidRPr="00A64D5D">
        <w:rPr>
          <w:rFonts w:asciiTheme="minorHAnsi" w:hAnsiTheme="minorHAnsi"/>
          <w:color w:val="333333"/>
          <w:sz w:val="22"/>
          <w:szCs w:val="22"/>
        </w:rPr>
        <w:t xml:space="preserve">The </w:t>
      </w:r>
      <w:r w:rsidR="00354B1A">
        <w:rPr>
          <w:rFonts w:asciiTheme="minorHAnsi" w:hAnsiTheme="minorHAnsi"/>
          <w:color w:val="333333"/>
          <w:sz w:val="22"/>
          <w:szCs w:val="22"/>
        </w:rPr>
        <w:t xml:space="preserve">Government’s </w:t>
      </w:r>
      <w:r w:rsidR="0016633A" w:rsidRPr="00A64D5D">
        <w:rPr>
          <w:rFonts w:asciiTheme="minorHAnsi" w:hAnsiTheme="minorHAnsi"/>
          <w:color w:val="333333"/>
          <w:sz w:val="22"/>
          <w:szCs w:val="22"/>
        </w:rPr>
        <w:t>proposals echo those of the NHS Interim People Plan that call for the creation of a different skill mix, with new roles and ways of working that exploit the opportunities offered by technology.</w:t>
      </w:r>
      <w:r w:rsidR="0016633A" w:rsidRPr="00A64D5D">
        <w:rPr>
          <w:rStyle w:val="EndnoteReference"/>
          <w:rFonts w:asciiTheme="minorHAnsi" w:hAnsiTheme="minorHAnsi"/>
          <w:color w:val="333333"/>
          <w:sz w:val="22"/>
          <w:szCs w:val="22"/>
        </w:rPr>
        <w:endnoteReference w:id="16"/>
      </w:r>
      <w:r w:rsidR="0016633A" w:rsidRPr="00A64D5D">
        <w:rPr>
          <w:rFonts w:asciiTheme="minorHAnsi" w:hAnsiTheme="minorHAnsi"/>
          <w:color w:val="333333"/>
          <w:sz w:val="22"/>
          <w:szCs w:val="22"/>
        </w:rPr>
        <w:t xml:space="preserve"> We are concerned that this approach may lead to the de-skilling of the workforce with potential implications for patient care. In practice, frontline health and care staff working in the community, often working on their own, going into people’s homes, need higher levels of skills, not lower, to support and maintain safe practice.</w:t>
      </w:r>
      <w:r w:rsidR="003D4935" w:rsidRPr="00A64D5D">
        <w:rPr>
          <w:rFonts w:asciiTheme="minorHAnsi" w:hAnsiTheme="minorHAnsi"/>
          <w:color w:val="333333"/>
          <w:sz w:val="22"/>
          <w:szCs w:val="22"/>
        </w:rPr>
        <w:t xml:space="preserve">  Moreover, deskilling the workforce, and undermining the independence and clinical judgement of practiti</w:t>
      </w:r>
      <w:r w:rsidR="00A64D5D" w:rsidRPr="00A64D5D">
        <w:rPr>
          <w:rFonts w:asciiTheme="minorHAnsi" w:hAnsiTheme="minorHAnsi"/>
          <w:color w:val="333333"/>
          <w:sz w:val="22"/>
          <w:szCs w:val="22"/>
        </w:rPr>
        <w:t xml:space="preserve">oners runs counter to the need - more important than ever - </w:t>
      </w:r>
      <w:r w:rsidR="003D4935" w:rsidRPr="00A64D5D">
        <w:rPr>
          <w:rFonts w:asciiTheme="minorHAnsi" w:hAnsiTheme="minorHAnsi"/>
          <w:color w:val="333333"/>
          <w:sz w:val="22"/>
          <w:szCs w:val="22"/>
        </w:rPr>
        <w:t xml:space="preserve">to retain staff and convince potential recruits that work in the NHS offers job satisfaction and professional development. </w:t>
      </w:r>
    </w:p>
    <w:p w14:paraId="209BFAE8" w14:textId="77777777" w:rsidR="0016633A" w:rsidRPr="00A64D5D" w:rsidRDefault="0016633A" w:rsidP="0016633A">
      <w:pPr>
        <w:pStyle w:val="NormalWeb"/>
        <w:spacing w:before="0" w:beforeAutospacing="0" w:after="0" w:afterAutospacing="0"/>
        <w:textAlignment w:val="baseline"/>
        <w:rPr>
          <w:rFonts w:asciiTheme="minorHAnsi" w:hAnsiTheme="minorHAnsi"/>
          <w:color w:val="333333"/>
          <w:sz w:val="22"/>
          <w:szCs w:val="22"/>
        </w:rPr>
      </w:pPr>
      <w:r w:rsidRPr="00A64D5D">
        <w:rPr>
          <w:rFonts w:asciiTheme="minorHAnsi" w:hAnsiTheme="minorHAnsi"/>
          <w:color w:val="333333"/>
          <w:sz w:val="22"/>
          <w:szCs w:val="22"/>
        </w:rPr>
        <w:t xml:space="preserve"> </w:t>
      </w:r>
    </w:p>
    <w:p w14:paraId="6355B576" w14:textId="278B970A" w:rsidR="003D4935" w:rsidRPr="00A64D5D" w:rsidRDefault="00601CF9" w:rsidP="003D4935">
      <w:pPr>
        <w:pStyle w:val="NormalWeb"/>
        <w:spacing w:before="0" w:beforeAutospacing="0" w:after="0" w:afterAutospacing="0"/>
        <w:textAlignment w:val="baseline"/>
        <w:rPr>
          <w:rFonts w:asciiTheme="minorHAnsi" w:hAnsiTheme="minorHAnsi"/>
          <w:strike/>
          <w:color w:val="333333"/>
          <w:sz w:val="22"/>
          <w:szCs w:val="22"/>
        </w:rPr>
      </w:pPr>
      <w:r>
        <w:rPr>
          <w:rFonts w:asciiTheme="minorHAnsi" w:hAnsiTheme="minorHAnsi"/>
          <w:color w:val="333333"/>
          <w:sz w:val="22"/>
          <w:szCs w:val="22"/>
        </w:rPr>
        <w:t xml:space="preserve">2.10.4 </w:t>
      </w:r>
      <w:r w:rsidR="0016633A" w:rsidRPr="00A64D5D">
        <w:rPr>
          <w:rFonts w:asciiTheme="minorHAnsi" w:hAnsiTheme="minorHAnsi"/>
          <w:color w:val="333333"/>
          <w:sz w:val="22"/>
          <w:szCs w:val="22"/>
        </w:rPr>
        <w:t xml:space="preserve">The White Paper also proposes changes to the system of professional regulation. It argues that “over time and with changing technology” the risks faced by particular professions may change and so regulation (and even regulatory bodies) may not be necessary in future. This would mean little control over who becomes a practitioner or how their competence is assessed, with the consequence that the public could be put at risk. Deregulation would make it easier to replace qualified staff with less skilled workers.  The combination of deregulation with increasing reliance on </w:t>
      </w:r>
      <w:r w:rsidR="006A28D7" w:rsidRPr="00A64D5D">
        <w:rPr>
          <w:rFonts w:asciiTheme="minorHAnsi" w:hAnsiTheme="minorHAnsi"/>
          <w:color w:val="333333"/>
          <w:sz w:val="22"/>
          <w:szCs w:val="22"/>
        </w:rPr>
        <w:t>digitally</w:t>
      </w:r>
      <w:r w:rsidR="006A28D7">
        <w:rPr>
          <w:rFonts w:asciiTheme="minorHAnsi" w:hAnsiTheme="minorHAnsi"/>
          <w:color w:val="333333"/>
          <w:sz w:val="22"/>
          <w:szCs w:val="22"/>
        </w:rPr>
        <w:t xml:space="preserve"> driven</w:t>
      </w:r>
      <w:r w:rsidR="003D4935" w:rsidRPr="00A64D5D">
        <w:rPr>
          <w:rFonts w:asciiTheme="minorHAnsi" w:hAnsiTheme="minorHAnsi"/>
          <w:color w:val="333333"/>
          <w:sz w:val="22"/>
          <w:szCs w:val="22"/>
        </w:rPr>
        <w:t xml:space="preserve"> decision-making will clearly facilitate the creation of a cheaper but down-skilled workforce.</w:t>
      </w:r>
    </w:p>
    <w:p w14:paraId="0D1CC8CB" w14:textId="1442D799" w:rsidR="00514CB0" w:rsidRPr="00A64D5D" w:rsidRDefault="00514CB0" w:rsidP="0016633A">
      <w:pPr>
        <w:rPr>
          <w:sz w:val="22"/>
          <w:szCs w:val="22"/>
        </w:rPr>
      </w:pPr>
    </w:p>
    <w:p w14:paraId="62A5D52D" w14:textId="001B2C3E" w:rsidR="000920CC" w:rsidRDefault="00601CF9" w:rsidP="000920CC">
      <w:pPr>
        <w:rPr>
          <w:rFonts w:eastAsia="Times New Roman" w:cs="Times New Roman"/>
          <w:i/>
          <w:color w:val="333333"/>
          <w:sz w:val="22"/>
          <w:szCs w:val="22"/>
          <w:shd w:val="clear" w:color="auto" w:fill="FFFFFF"/>
        </w:rPr>
      </w:pPr>
      <w:r>
        <w:rPr>
          <w:rFonts w:eastAsia="Times New Roman" w:cs="Times New Roman"/>
          <w:i/>
          <w:color w:val="333333"/>
          <w:sz w:val="22"/>
          <w:szCs w:val="22"/>
          <w:shd w:val="clear" w:color="auto" w:fill="FFFFFF"/>
        </w:rPr>
        <w:t>3.11</w:t>
      </w:r>
      <w:r w:rsidR="000920CC" w:rsidRPr="00CA1A76">
        <w:rPr>
          <w:rFonts w:eastAsia="Times New Roman" w:cs="Times New Roman"/>
          <w:i/>
          <w:color w:val="333333"/>
          <w:sz w:val="22"/>
          <w:szCs w:val="22"/>
          <w:shd w:val="clear" w:color="auto" w:fill="FFFFFF"/>
        </w:rPr>
        <w:t xml:space="preserve"> The source of these proposals</w:t>
      </w:r>
    </w:p>
    <w:p w14:paraId="2EB6D1B3" w14:textId="77777777" w:rsidR="00601CF9" w:rsidRPr="00CA1A76" w:rsidRDefault="00601CF9" w:rsidP="000920CC">
      <w:pPr>
        <w:rPr>
          <w:rFonts w:eastAsia="Times New Roman" w:cs="Times New Roman"/>
          <w:i/>
          <w:color w:val="333333"/>
          <w:sz w:val="22"/>
          <w:szCs w:val="22"/>
          <w:shd w:val="clear" w:color="auto" w:fill="FFFFFF"/>
        </w:rPr>
      </w:pPr>
    </w:p>
    <w:p w14:paraId="5C90EC36" w14:textId="2D7D00F8" w:rsidR="000920CC" w:rsidRPr="00A64D5D" w:rsidRDefault="000920CC" w:rsidP="000920CC">
      <w:pPr>
        <w:rPr>
          <w:sz w:val="22"/>
          <w:szCs w:val="22"/>
        </w:rPr>
      </w:pPr>
      <w:r w:rsidRPr="00A64D5D">
        <w:rPr>
          <w:rFonts w:eastAsia="Times New Roman" w:cs="Times New Roman"/>
          <w:color w:val="333333"/>
          <w:sz w:val="22"/>
          <w:szCs w:val="22"/>
          <w:shd w:val="clear" w:color="auto" w:fill="FFFFFF"/>
        </w:rPr>
        <w:t xml:space="preserve"> </w:t>
      </w:r>
      <w:r w:rsidR="00601CF9">
        <w:rPr>
          <w:rFonts w:eastAsia="Times New Roman" w:cs="Times New Roman"/>
          <w:color w:val="333333"/>
          <w:sz w:val="22"/>
          <w:szCs w:val="22"/>
          <w:shd w:val="clear" w:color="auto" w:fill="FFFFFF"/>
        </w:rPr>
        <w:t xml:space="preserve">3.11.1 </w:t>
      </w:r>
      <w:r w:rsidRPr="00A64D5D">
        <w:rPr>
          <w:rFonts w:eastAsia="Times New Roman" w:cs="Times New Roman"/>
          <w:color w:val="333333"/>
          <w:sz w:val="22"/>
          <w:szCs w:val="22"/>
          <w:shd w:val="clear" w:color="auto" w:fill="FFFFFF"/>
        </w:rPr>
        <w:t xml:space="preserve">The White Paper proposals for organisational reconfiguration </w:t>
      </w:r>
      <w:r w:rsidR="00354B1A">
        <w:rPr>
          <w:rFonts w:eastAsia="Times New Roman" w:cs="Times New Roman"/>
          <w:color w:val="333333"/>
          <w:sz w:val="22"/>
          <w:szCs w:val="22"/>
          <w:shd w:val="clear" w:color="auto" w:fill="FFFFFF"/>
        </w:rPr>
        <w:t>described as</w:t>
      </w:r>
      <w:r w:rsidR="00A64D5D" w:rsidRPr="00A64D5D">
        <w:rPr>
          <w:rFonts w:eastAsia="Times New Roman" w:cs="Times New Roman"/>
          <w:color w:val="333333"/>
          <w:sz w:val="22"/>
          <w:szCs w:val="22"/>
          <w:shd w:val="clear" w:color="auto" w:fill="FFFFFF"/>
        </w:rPr>
        <w:t xml:space="preserve"> </w:t>
      </w:r>
      <w:r w:rsidRPr="00A64D5D">
        <w:rPr>
          <w:rFonts w:eastAsia="Times New Roman" w:cs="Times New Roman"/>
          <w:color w:val="333333"/>
          <w:sz w:val="22"/>
          <w:szCs w:val="22"/>
          <w:shd w:val="clear" w:color="auto" w:fill="FFFFFF"/>
        </w:rPr>
        <w:t xml:space="preserve">‘integrated care’ reflect a multi-stakeholder initiative first </w:t>
      </w:r>
      <w:r w:rsidR="00354B1A">
        <w:rPr>
          <w:rFonts w:eastAsia="Times New Roman" w:cs="Times New Roman"/>
          <w:color w:val="333333"/>
          <w:sz w:val="22"/>
          <w:szCs w:val="22"/>
          <w:shd w:val="clear" w:color="auto" w:fill="FFFFFF"/>
        </w:rPr>
        <w:t>promoted by the World Economic F</w:t>
      </w:r>
      <w:r w:rsidRPr="00A64D5D">
        <w:rPr>
          <w:rFonts w:eastAsia="Times New Roman" w:cs="Times New Roman"/>
          <w:color w:val="333333"/>
          <w:sz w:val="22"/>
          <w:szCs w:val="22"/>
          <w:shd w:val="clear" w:color="auto" w:fill="FFFFFF"/>
        </w:rPr>
        <w:t xml:space="preserve">orum in 2013 </w:t>
      </w:r>
      <w:r w:rsidR="00554D1C">
        <w:rPr>
          <w:rFonts w:eastAsia="Times New Roman" w:cs="Times New Roman"/>
          <w:color w:val="333333"/>
          <w:sz w:val="22"/>
          <w:szCs w:val="22"/>
          <w:shd w:val="clear" w:color="auto" w:fill="FFFFFF"/>
        </w:rPr>
        <w:t xml:space="preserve">and </w:t>
      </w:r>
      <w:r w:rsidRPr="00A64D5D">
        <w:rPr>
          <w:rFonts w:eastAsia="Times New Roman" w:cs="Times New Roman"/>
          <w:color w:val="333333"/>
          <w:sz w:val="22"/>
          <w:szCs w:val="22"/>
          <w:shd w:val="clear" w:color="auto" w:fill="FFFFFF"/>
        </w:rPr>
        <w:t>very much in the interest</w:t>
      </w:r>
      <w:r w:rsidR="00554D1C">
        <w:rPr>
          <w:rFonts w:eastAsia="Times New Roman" w:cs="Times New Roman"/>
          <w:color w:val="333333"/>
          <w:sz w:val="22"/>
          <w:szCs w:val="22"/>
          <w:shd w:val="clear" w:color="auto" w:fill="FFFFFF"/>
        </w:rPr>
        <w:t>s</w:t>
      </w:r>
      <w:r w:rsidRPr="00A64D5D">
        <w:rPr>
          <w:rFonts w:eastAsia="Times New Roman" w:cs="Times New Roman"/>
          <w:color w:val="333333"/>
          <w:sz w:val="22"/>
          <w:szCs w:val="22"/>
          <w:shd w:val="clear" w:color="auto" w:fill="FFFFFF"/>
        </w:rPr>
        <w:t xml:space="preserve"> of global healthcare corporations. The ideas from the WEF have subsequently informed plans for the NHS, notably</w:t>
      </w:r>
      <w:r w:rsidRPr="00A64D5D">
        <w:rPr>
          <w:sz w:val="22"/>
          <w:szCs w:val="22"/>
        </w:rPr>
        <w:t xml:space="preserve"> NHSE’s “Five Year Forward View”</w:t>
      </w:r>
      <w:r w:rsidR="00253476" w:rsidRPr="00A64D5D">
        <w:rPr>
          <w:sz w:val="22"/>
          <w:szCs w:val="22"/>
        </w:rPr>
        <w:t>,</w:t>
      </w:r>
      <w:r w:rsidRPr="00A64D5D">
        <w:rPr>
          <w:rStyle w:val="EndnoteReference"/>
          <w:sz w:val="22"/>
          <w:szCs w:val="22"/>
        </w:rPr>
        <w:endnoteReference w:id="17"/>
      </w:r>
      <w:r w:rsidR="00354B1A">
        <w:rPr>
          <w:sz w:val="22"/>
          <w:szCs w:val="22"/>
        </w:rPr>
        <w:t xml:space="preserve"> its</w:t>
      </w:r>
      <w:r w:rsidRPr="00A64D5D">
        <w:rPr>
          <w:sz w:val="22"/>
          <w:szCs w:val="22"/>
        </w:rPr>
        <w:t xml:space="preserve"> “Long Term Plan”</w:t>
      </w:r>
      <w:r w:rsidR="00253476" w:rsidRPr="00A64D5D">
        <w:rPr>
          <w:sz w:val="22"/>
          <w:szCs w:val="22"/>
        </w:rPr>
        <w:t>,</w:t>
      </w:r>
      <w:r w:rsidRPr="00A64D5D">
        <w:rPr>
          <w:rStyle w:val="EndnoteReference"/>
          <w:sz w:val="22"/>
          <w:szCs w:val="22"/>
        </w:rPr>
        <w:endnoteReference w:id="18"/>
      </w:r>
      <w:r w:rsidRPr="00A64D5D">
        <w:rPr>
          <w:sz w:val="22"/>
          <w:szCs w:val="22"/>
        </w:rPr>
        <w:t xml:space="preserve"> </w:t>
      </w:r>
      <w:r w:rsidR="00253476" w:rsidRPr="00A64D5D">
        <w:rPr>
          <w:sz w:val="22"/>
          <w:szCs w:val="22"/>
        </w:rPr>
        <w:t>and now the Government’s White Paper. However, t</w:t>
      </w:r>
      <w:r w:rsidRPr="00A64D5D">
        <w:rPr>
          <w:sz w:val="22"/>
          <w:szCs w:val="22"/>
        </w:rPr>
        <w:t>here is no evidence that these ideas work</w:t>
      </w:r>
      <w:r w:rsidR="00A64D5D" w:rsidRPr="00A64D5D">
        <w:rPr>
          <w:sz w:val="22"/>
          <w:szCs w:val="22"/>
        </w:rPr>
        <w:t xml:space="preserve">. Instead they </w:t>
      </w:r>
      <w:r w:rsidR="00253476" w:rsidRPr="00A64D5D">
        <w:rPr>
          <w:sz w:val="22"/>
          <w:szCs w:val="22"/>
        </w:rPr>
        <w:t xml:space="preserve">seem </w:t>
      </w:r>
      <w:r w:rsidR="00354B1A">
        <w:rPr>
          <w:sz w:val="22"/>
          <w:szCs w:val="22"/>
        </w:rPr>
        <w:t xml:space="preserve">largely </w:t>
      </w:r>
      <w:r w:rsidR="00253476" w:rsidRPr="00A64D5D">
        <w:rPr>
          <w:sz w:val="22"/>
          <w:szCs w:val="22"/>
        </w:rPr>
        <w:t>to benefit sections of the private sector seeking lucrative contracts and data. No MP or constituent has</w:t>
      </w:r>
      <w:r w:rsidR="00554D1C">
        <w:rPr>
          <w:sz w:val="22"/>
          <w:szCs w:val="22"/>
        </w:rPr>
        <w:t xml:space="preserve"> called for anything like this while </w:t>
      </w:r>
      <w:r w:rsidR="00253476" w:rsidRPr="00A64D5D">
        <w:rPr>
          <w:sz w:val="22"/>
          <w:szCs w:val="22"/>
        </w:rPr>
        <w:t xml:space="preserve">the public has not been told of these plans, and is being denied a voice on the </w:t>
      </w:r>
      <w:r w:rsidR="00A64D5D" w:rsidRPr="00A64D5D">
        <w:rPr>
          <w:sz w:val="22"/>
          <w:szCs w:val="22"/>
        </w:rPr>
        <w:t xml:space="preserve">proposed </w:t>
      </w:r>
      <w:r w:rsidR="00253476" w:rsidRPr="00A64D5D">
        <w:rPr>
          <w:sz w:val="22"/>
          <w:szCs w:val="22"/>
        </w:rPr>
        <w:t xml:space="preserve">changes at local and national level. </w:t>
      </w:r>
    </w:p>
    <w:p w14:paraId="78A6A51D" w14:textId="77777777" w:rsidR="002C2105" w:rsidRPr="00A64D5D" w:rsidRDefault="002C2105">
      <w:pPr>
        <w:rPr>
          <w:strike/>
          <w:sz w:val="22"/>
          <w:szCs w:val="22"/>
        </w:rPr>
      </w:pPr>
    </w:p>
    <w:p w14:paraId="2C193895" w14:textId="2F9AF7A6" w:rsidR="00ED2C95" w:rsidRPr="00A64D5D" w:rsidRDefault="00601CF9">
      <w:pPr>
        <w:rPr>
          <w:b/>
          <w:sz w:val="22"/>
          <w:szCs w:val="22"/>
        </w:rPr>
      </w:pPr>
      <w:r>
        <w:rPr>
          <w:b/>
          <w:sz w:val="22"/>
          <w:szCs w:val="22"/>
        </w:rPr>
        <w:t xml:space="preserve">4. </w:t>
      </w:r>
      <w:r w:rsidR="000555D7" w:rsidRPr="00A64D5D">
        <w:rPr>
          <w:b/>
          <w:sz w:val="22"/>
          <w:szCs w:val="22"/>
        </w:rPr>
        <w:t>In conclusion</w:t>
      </w:r>
    </w:p>
    <w:p w14:paraId="55DDEC09" w14:textId="77777777" w:rsidR="00C75D7B" w:rsidRPr="00A64D5D" w:rsidRDefault="00C75D7B">
      <w:pPr>
        <w:rPr>
          <w:b/>
          <w:sz w:val="22"/>
          <w:szCs w:val="22"/>
        </w:rPr>
      </w:pPr>
    </w:p>
    <w:p w14:paraId="5E9C6719" w14:textId="05BC33E9" w:rsidR="000555D7" w:rsidRPr="00A64D5D" w:rsidRDefault="00601CF9" w:rsidP="000555D7">
      <w:pPr>
        <w:rPr>
          <w:sz w:val="22"/>
          <w:szCs w:val="22"/>
        </w:rPr>
      </w:pPr>
      <w:r>
        <w:rPr>
          <w:sz w:val="22"/>
          <w:szCs w:val="22"/>
        </w:rPr>
        <w:t xml:space="preserve">4.1 </w:t>
      </w:r>
      <w:r w:rsidR="000555D7" w:rsidRPr="00A64D5D">
        <w:rPr>
          <w:sz w:val="22"/>
          <w:szCs w:val="22"/>
        </w:rPr>
        <w:t xml:space="preserve">We believe that, far from being just another reorganisation of NHS bureaucracy, </w:t>
      </w:r>
      <w:r w:rsidR="00B01CCA" w:rsidRPr="00A64D5D">
        <w:rPr>
          <w:sz w:val="22"/>
          <w:szCs w:val="22"/>
        </w:rPr>
        <w:t xml:space="preserve">the </w:t>
      </w:r>
      <w:r w:rsidR="000555D7" w:rsidRPr="00A64D5D">
        <w:rPr>
          <w:sz w:val="22"/>
          <w:szCs w:val="22"/>
        </w:rPr>
        <w:t xml:space="preserve">White Paper potentially represents </w:t>
      </w:r>
      <w:r w:rsidR="00C75D7B" w:rsidRPr="00A64D5D">
        <w:rPr>
          <w:sz w:val="22"/>
          <w:szCs w:val="22"/>
        </w:rPr>
        <w:t xml:space="preserve">a huge reshaping of the NHS and </w:t>
      </w:r>
      <w:r w:rsidR="000555D7" w:rsidRPr="00A64D5D">
        <w:rPr>
          <w:sz w:val="22"/>
          <w:szCs w:val="22"/>
        </w:rPr>
        <w:t xml:space="preserve">one of the final steps in </w:t>
      </w:r>
      <w:r w:rsidR="00C75D7B" w:rsidRPr="00A64D5D">
        <w:rPr>
          <w:sz w:val="22"/>
          <w:szCs w:val="22"/>
        </w:rPr>
        <w:t xml:space="preserve">its </w:t>
      </w:r>
      <w:r w:rsidR="000555D7" w:rsidRPr="00A64D5D">
        <w:rPr>
          <w:sz w:val="22"/>
          <w:szCs w:val="22"/>
        </w:rPr>
        <w:t xml:space="preserve">fragmentation and privatisation. </w:t>
      </w:r>
      <w:r w:rsidR="00C57386" w:rsidRPr="00A64D5D">
        <w:rPr>
          <w:sz w:val="22"/>
          <w:szCs w:val="22"/>
        </w:rPr>
        <w:t xml:space="preserve">The public is totally unaware that this step is being taken. </w:t>
      </w:r>
    </w:p>
    <w:p w14:paraId="312C020D" w14:textId="77777777" w:rsidR="000555D7" w:rsidRPr="00A64D5D" w:rsidRDefault="000555D7">
      <w:pPr>
        <w:rPr>
          <w:sz w:val="22"/>
          <w:szCs w:val="22"/>
        </w:rPr>
      </w:pPr>
    </w:p>
    <w:p w14:paraId="005769A5" w14:textId="20202400" w:rsidR="002C2105" w:rsidRPr="00A64D5D" w:rsidRDefault="00601CF9" w:rsidP="000555D7">
      <w:pPr>
        <w:rPr>
          <w:rFonts w:cs="Calibri"/>
          <w:sz w:val="22"/>
          <w:szCs w:val="22"/>
        </w:rPr>
      </w:pPr>
      <w:r>
        <w:rPr>
          <w:sz w:val="22"/>
          <w:szCs w:val="22"/>
        </w:rPr>
        <w:t xml:space="preserve">4.2 </w:t>
      </w:r>
      <w:r w:rsidR="000555D7" w:rsidRPr="00A64D5D">
        <w:rPr>
          <w:sz w:val="22"/>
          <w:szCs w:val="22"/>
        </w:rPr>
        <w:t xml:space="preserve">We would urge the Committee to demand an immediate </w:t>
      </w:r>
      <w:r w:rsidR="007C3E16" w:rsidRPr="00A64D5D">
        <w:rPr>
          <w:sz w:val="22"/>
          <w:szCs w:val="22"/>
        </w:rPr>
        <w:t xml:space="preserve">halt </w:t>
      </w:r>
      <w:r w:rsidR="00932F79" w:rsidRPr="00A64D5D">
        <w:rPr>
          <w:sz w:val="22"/>
          <w:szCs w:val="22"/>
        </w:rPr>
        <w:t xml:space="preserve">to </w:t>
      </w:r>
      <w:r w:rsidR="003D4935" w:rsidRPr="00A64D5D">
        <w:rPr>
          <w:sz w:val="22"/>
          <w:szCs w:val="22"/>
        </w:rPr>
        <w:t xml:space="preserve">the </w:t>
      </w:r>
      <w:r w:rsidR="00281D19">
        <w:rPr>
          <w:sz w:val="22"/>
          <w:szCs w:val="22"/>
        </w:rPr>
        <w:t xml:space="preserve">current </w:t>
      </w:r>
      <w:r w:rsidR="003D4935" w:rsidRPr="00A64D5D">
        <w:rPr>
          <w:sz w:val="22"/>
          <w:szCs w:val="22"/>
        </w:rPr>
        <w:t xml:space="preserve">roll out of </w:t>
      </w:r>
      <w:r w:rsidR="000555D7" w:rsidRPr="00A64D5D">
        <w:rPr>
          <w:sz w:val="22"/>
          <w:szCs w:val="22"/>
        </w:rPr>
        <w:t>ICSs</w:t>
      </w:r>
      <w:r w:rsidR="00281D19">
        <w:rPr>
          <w:sz w:val="22"/>
          <w:szCs w:val="22"/>
        </w:rPr>
        <w:t xml:space="preserve"> and to consider whether these new bodies should </w:t>
      </w:r>
      <w:r w:rsidR="00354B1A">
        <w:rPr>
          <w:sz w:val="22"/>
          <w:szCs w:val="22"/>
        </w:rPr>
        <w:t xml:space="preserve">really </w:t>
      </w:r>
      <w:r w:rsidR="00281D19">
        <w:rPr>
          <w:sz w:val="22"/>
          <w:szCs w:val="22"/>
        </w:rPr>
        <w:t>be given stat</w:t>
      </w:r>
      <w:r w:rsidR="00007236">
        <w:rPr>
          <w:sz w:val="22"/>
          <w:szCs w:val="22"/>
        </w:rPr>
        <w:t xml:space="preserve">utory powers through new legislation that would kill off what local level accountability still exists.  There is a strong case for delaying the process of formalising the existence of ICSs pending </w:t>
      </w:r>
      <w:r w:rsidR="000555D7" w:rsidRPr="00A64D5D">
        <w:rPr>
          <w:sz w:val="22"/>
          <w:szCs w:val="22"/>
        </w:rPr>
        <w:t xml:space="preserve">an extensive </w:t>
      </w:r>
      <w:r w:rsidR="002C2105" w:rsidRPr="00A64D5D">
        <w:rPr>
          <w:rFonts w:cs="Calibri"/>
          <w:sz w:val="22"/>
          <w:szCs w:val="22"/>
        </w:rPr>
        <w:t>and meaningful consultation with the public, health service staff and their unions, local authorities and Parliament to decide how hea</w:t>
      </w:r>
      <w:r w:rsidR="00354B1A">
        <w:rPr>
          <w:rFonts w:cs="Calibri"/>
          <w:sz w:val="22"/>
          <w:szCs w:val="22"/>
        </w:rPr>
        <w:t>lth and social care services should be</w:t>
      </w:r>
      <w:r w:rsidR="002C2105" w:rsidRPr="00A64D5D">
        <w:rPr>
          <w:rFonts w:cs="Calibri"/>
          <w:sz w:val="22"/>
          <w:szCs w:val="22"/>
        </w:rPr>
        <w:t xml:space="preserve"> provided in England.</w:t>
      </w:r>
    </w:p>
    <w:p w14:paraId="347C85E8" w14:textId="77777777" w:rsidR="002C2105" w:rsidRPr="00A64D5D" w:rsidRDefault="002C2105">
      <w:pPr>
        <w:rPr>
          <w:sz w:val="22"/>
          <w:szCs w:val="22"/>
        </w:rPr>
      </w:pPr>
    </w:p>
    <w:p w14:paraId="1F603E20" w14:textId="77777777" w:rsidR="004F6BBD" w:rsidRPr="00A64D5D" w:rsidRDefault="004F6BBD">
      <w:pPr>
        <w:rPr>
          <w:sz w:val="22"/>
          <w:szCs w:val="22"/>
        </w:rPr>
      </w:pPr>
    </w:p>
    <w:p w14:paraId="4A3C088C" w14:textId="77777777" w:rsidR="004F6BBD" w:rsidRPr="00A64D5D" w:rsidRDefault="004F6BBD">
      <w:pPr>
        <w:rPr>
          <w:sz w:val="22"/>
          <w:szCs w:val="22"/>
        </w:rPr>
      </w:pPr>
    </w:p>
    <w:p w14:paraId="0FC5C743" w14:textId="100ABDFC" w:rsidR="004F6BBD" w:rsidRPr="00A64D5D" w:rsidRDefault="004F6BBD" w:rsidP="004F6BBD">
      <w:pPr>
        <w:rPr>
          <w:rFonts w:cs="Times New Roman"/>
          <w:sz w:val="22"/>
          <w:szCs w:val="22"/>
        </w:rPr>
      </w:pPr>
      <w:r w:rsidRPr="00A64D5D">
        <w:rPr>
          <w:rFonts w:cs="Times New Roman"/>
          <w:sz w:val="22"/>
          <w:szCs w:val="22"/>
        </w:rPr>
        <w:t xml:space="preserve">Contact: Dr John Puntis, Co-Chair, Keep Our NHS Public </w:t>
      </w:r>
    </w:p>
    <w:p w14:paraId="7F893BCE" w14:textId="3CBB5B95" w:rsidR="00A64D5D" w:rsidRPr="006A28D7" w:rsidRDefault="006A28D7">
      <w:pPr>
        <w:rPr>
          <w:rFonts w:cs="Times New Roman"/>
          <w:sz w:val="22"/>
          <w:szCs w:val="22"/>
        </w:rPr>
      </w:pPr>
      <w:proofErr w:type="gramStart"/>
      <w:r>
        <w:rPr>
          <w:rFonts w:cs="Times New Roman"/>
          <w:sz w:val="22"/>
          <w:szCs w:val="22"/>
        </w:rPr>
        <w:t>john.puntis@yahoo.co.uk</w:t>
      </w:r>
      <w:bookmarkStart w:id="0" w:name="_GoBack"/>
      <w:bookmarkEnd w:id="0"/>
      <w:proofErr w:type="gramEnd"/>
    </w:p>
    <w:p w14:paraId="4EC83A08" w14:textId="77777777" w:rsidR="00A64D5D" w:rsidRPr="00A64D5D" w:rsidRDefault="00A64D5D">
      <w:pPr>
        <w:rPr>
          <w:sz w:val="22"/>
          <w:szCs w:val="22"/>
        </w:rPr>
      </w:pPr>
    </w:p>
    <w:sectPr w:rsidR="00A64D5D" w:rsidRPr="00A64D5D" w:rsidSect="00DF108A">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1EAE" w14:textId="77777777" w:rsidR="00C653A4" w:rsidRDefault="00C653A4" w:rsidP="006359C4">
      <w:r>
        <w:separator/>
      </w:r>
    </w:p>
  </w:endnote>
  <w:endnote w:type="continuationSeparator" w:id="0">
    <w:p w14:paraId="3639F516" w14:textId="77777777" w:rsidR="00C653A4" w:rsidRDefault="00C653A4" w:rsidP="006359C4">
      <w:r>
        <w:continuationSeparator/>
      </w:r>
    </w:p>
  </w:endnote>
  <w:endnote w:id="1">
    <w:p w14:paraId="1650AC15" w14:textId="77777777" w:rsidR="00C653A4" w:rsidRPr="00A64D5D" w:rsidRDefault="00C653A4" w:rsidP="00193A97">
      <w:pPr>
        <w:pStyle w:val="EndnoteText"/>
        <w:rPr>
          <w:sz w:val="18"/>
          <w:szCs w:val="18"/>
          <w:lang w:val="en-US"/>
        </w:rPr>
      </w:pPr>
      <w:r w:rsidRPr="00A64D5D">
        <w:rPr>
          <w:rStyle w:val="EndnoteReference"/>
          <w:sz w:val="18"/>
          <w:szCs w:val="18"/>
        </w:rPr>
        <w:endnoteRef/>
      </w:r>
      <w:r w:rsidRPr="00A64D5D">
        <w:rPr>
          <w:sz w:val="18"/>
          <w:szCs w:val="18"/>
        </w:rPr>
        <w:t xml:space="preserve"> https://www.nao.org.uk/report/health-and-social-care-integration/</w:t>
      </w:r>
    </w:p>
  </w:endnote>
  <w:endnote w:id="2">
    <w:p w14:paraId="57F821B5" w14:textId="40E84019" w:rsidR="00C653A4" w:rsidRPr="00A64D5D" w:rsidRDefault="00C653A4">
      <w:pPr>
        <w:pStyle w:val="EndnoteText"/>
        <w:rPr>
          <w:sz w:val="20"/>
          <w:szCs w:val="20"/>
          <w:lang w:val="en-US"/>
        </w:rPr>
      </w:pPr>
      <w:r w:rsidRPr="00A64D5D">
        <w:rPr>
          <w:rStyle w:val="EndnoteReference"/>
          <w:sz w:val="18"/>
          <w:szCs w:val="18"/>
        </w:rPr>
        <w:endnoteRef/>
      </w:r>
      <w:r w:rsidRPr="00A64D5D">
        <w:rPr>
          <w:sz w:val="18"/>
          <w:szCs w:val="18"/>
        </w:rPr>
        <w:t xml:space="preserve"> </w:t>
      </w:r>
      <w:hyperlink r:id="rId1" w:history="1">
        <w:r w:rsidRPr="00A64D5D">
          <w:rPr>
            <w:rStyle w:val="Hyperlink"/>
            <w:sz w:val="20"/>
            <w:szCs w:val="20"/>
          </w:rPr>
          <w:t>https://www.longtermplan.nhs.uk/wp-content/uploads/2019/02/nhs-legislation-engagement-document.pdf</w:t>
        </w:r>
      </w:hyperlink>
      <w:r w:rsidRPr="00A64D5D">
        <w:rPr>
          <w:sz w:val="20"/>
          <w:szCs w:val="20"/>
        </w:rPr>
        <w:t xml:space="preserve"> </w:t>
      </w:r>
    </w:p>
  </w:endnote>
  <w:endnote w:id="3">
    <w:p w14:paraId="7AEA7424" w14:textId="3E720EFE" w:rsidR="00C653A4" w:rsidRPr="00A64D5D" w:rsidRDefault="00C653A4" w:rsidP="00FC3B1F">
      <w:pPr>
        <w:pStyle w:val="EndnoteText"/>
        <w:rPr>
          <w:sz w:val="20"/>
          <w:szCs w:val="20"/>
          <w:lang w:val="en-US"/>
        </w:rPr>
      </w:pPr>
      <w:r w:rsidRPr="00A64D5D">
        <w:rPr>
          <w:rStyle w:val="EndnoteReference"/>
          <w:sz w:val="20"/>
          <w:szCs w:val="20"/>
        </w:rPr>
        <w:endnoteRef/>
      </w:r>
      <w:r w:rsidRPr="00A64D5D">
        <w:rPr>
          <w:sz w:val="20"/>
          <w:szCs w:val="20"/>
        </w:rPr>
        <w:t xml:space="preserve"> </w:t>
      </w:r>
      <w:hyperlink r:id="rId2" w:history="1">
        <w:r w:rsidRPr="00A64D5D">
          <w:rPr>
            <w:rStyle w:val="Hyperlink"/>
            <w:sz w:val="20"/>
            <w:szCs w:val="20"/>
          </w:rPr>
          <w:t>https://www.local.gov.uk/parliament/briefings-and-responses/integrating-care-next-steps-building-strong-and-effective</w:t>
        </w:r>
      </w:hyperlink>
      <w:r w:rsidRPr="00A64D5D">
        <w:rPr>
          <w:sz w:val="20"/>
          <w:szCs w:val="20"/>
        </w:rPr>
        <w:t xml:space="preserve"> </w:t>
      </w:r>
    </w:p>
  </w:endnote>
  <w:endnote w:id="4">
    <w:p w14:paraId="0F767B32" w14:textId="6D9C5733" w:rsidR="00C653A4" w:rsidRPr="00A64D5D" w:rsidRDefault="00C653A4" w:rsidP="00FC3B1F">
      <w:pPr>
        <w:pStyle w:val="EndnoteText"/>
        <w:rPr>
          <w:sz w:val="20"/>
          <w:szCs w:val="20"/>
          <w:lang w:val="en-US"/>
        </w:rPr>
      </w:pPr>
      <w:r w:rsidRPr="00A64D5D">
        <w:rPr>
          <w:rStyle w:val="EndnoteReference"/>
          <w:sz w:val="20"/>
          <w:szCs w:val="20"/>
        </w:rPr>
        <w:endnoteRef/>
      </w:r>
      <w:r w:rsidRPr="00A64D5D">
        <w:rPr>
          <w:sz w:val="20"/>
          <w:szCs w:val="20"/>
        </w:rPr>
        <w:t xml:space="preserve"> </w:t>
      </w:r>
      <w:hyperlink r:id="rId3" w:history="1">
        <w:r w:rsidRPr="00A64D5D">
          <w:rPr>
            <w:rStyle w:val="Hyperlink"/>
            <w:sz w:val="20"/>
            <w:szCs w:val="20"/>
          </w:rPr>
          <w:t>https://www.health.org.uk/publications/reports/the-marmot-review-10-years-on</w:t>
        </w:r>
      </w:hyperlink>
      <w:r w:rsidRPr="00A64D5D">
        <w:rPr>
          <w:sz w:val="20"/>
          <w:szCs w:val="20"/>
        </w:rPr>
        <w:t xml:space="preserve"> </w:t>
      </w:r>
    </w:p>
  </w:endnote>
  <w:endnote w:id="5">
    <w:p w14:paraId="4F60F937" w14:textId="47A7DC81" w:rsidR="00C653A4" w:rsidRPr="00A64D5D" w:rsidRDefault="00C653A4" w:rsidP="00FC3B1F">
      <w:pPr>
        <w:pStyle w:val="EndnoteText"/>
        <w:rPr>
          <w:sz w:val="20"/>
          <w:szCs w:val="20"/>
          <w:lang w:val="en-US"/>
        </w:rPr>
      </w:pPr>
      <w:r w:rsidRPr="00A64D5D">
        <w:rPr>
          <w:rStyle w:val="EndnoteReference"/>
          <w:sz w:val="20"/>
          <w:szCs w:val="20"/>
        </w:rPr>
        <w:endnoteRef/>
      </w:r>
      <w:r w:rsidRPr="00A64D5D">
        <w:rPr>
          <w:sz w:val="20"/>
          <w:szCs w:val="20"/>
        </w:rPr>
        <w:t xml:space="preserve"> </w:t>
      </w:r>
      <w:hyperlink r:id="rId4" w:history="1">
        <w:r w:rsidRPr="00A64D5D">
          <w:rPr>
            <w:rStyle w:val="Hyperlink"/>
            <w:sz w:val="20"/>
            <w:szCs w:val="20"/>
          </w:rPr>
          <w:t>https://www.health.org.uk/publications/build-back-fairer-the-covid-19-marmot-review</w:t>
        </w:r>
      </w:hyperlink>
      <w:r w:rsidRPr="00A64D5D">
        <w:rPr>
          <w:sz w:val="20"/>
          <w:szCs w:val="20"/>
        </w:rPr>
        <w:t xml:space="preserve"> </w:t>
      </w:r>
    </w:p>
  </w:endnote>
  <w:endnote w:id="6">
    <w:p w14:paraId="0C5FDA87" w14:textId="270CC399" w:rsidR="00C653A4" w:rsidRPr="00A64D5D" w:rsidRDefault="00C653A4" w:rsidP="00514CB0">
      <w:pPr>
        <w:pStyle w:val="EndnoteText"/>
        <w:rPr>
          <w:sz w:val="20"/>
          <w:szCs w:val="20"/>
          <w:lang w:val="en-US"/>
        </w:rPr>
      </w:pPr>
      <w:r w:rsidRPr="00A64D5D">
        <w:rPr>
          <w:rStyle w:val="EndnoteReference"/>
          <w:sz w:val="20"/>
          <w:szCs w:val="20"/>
        </w:rPr>
        <w:endnoteRef/>
      </w:r>
      <w:r w:rsidRPr="00A64D5D">
        <w:rPr>
          <w:sz w:val="20"/>
          <w:szCs w:val="20"/>
        </w:rPr>
        <w:t xml:space="preserve"> </w:t>
      </w:r>
      <w:hyperlink r:id="rId5" w:history="1">
        <w:r w:rsidRPr="00A64D5D">
          <w:rPr>
            <w:rStyle w:val="Hyperlink"/>
            <w:sz w:val="20"/>
            <w:szCs w:val="20"/>
          </w:rPr>
          <w:t>https://www.hsj.co.uk/policy-and-regulation/government-to-take-joint-role-in-appointing-nhs-chairs-and-ceos/7029728.article</w:t>
        </w:r>
      </w:hyperlink>
      <w:r w:rsidRPr="00A64D5D">
        <w:rPr>
          <w:sz w:val="20"/>
          <w:szCs w:val="20"/>
        </w:rPr>
        <w:t xml:space="preserve"> </w:t>
      </w:r>
    </w:p>
  </w:endnote>
  <w:endnote w:id="7">
    <w:p w14:paraId="544F2610" w14:textId="10C206EF" w:rsidR="00C653A4" w:rsidRPr="00A64D5D" w:rsidRDefault="00C653A4" w:rsidP="00514CB0">
      <w:pPr>
        <w:pStyle w:val="EndnoteText"/>
        <w:rPr>
          <w:sz w:val="20"/>
          <w:szCs w:val="20"/>
          <w:lang w:val="en-US"/>
        </w:rPr>
      </w:pPr>
      <w:r w:rsidRPr="00A64D5D">
        <w:rPr>
          <w:rStyle w:val="EndnoteReference"/>
          <w:sz w:val="20"/>
          <w:szCs w:val="20"/>
        </w:rPr>
        <w:endnoteRef/>
      </w:r>
      <w:r w:rsidRPr="00A64D5D">
        <w:rPr>
          <w:sz w:val="20"/>
          <w:szCs w:val="20"/>
        </w:rPr>
        <w:t xml:space="preserve"> </w:t>
      </w:r>
      <w:hyperlink r:id="rId6" w:history="1">
        <w:r w:rsidRPr="00A64D5D">
          <w:rPr>
            <w:rStyle w:val="Hyperlink"/>
            <w:sz w:val="20"/>
            <w:szCs w:val="20"/>
          </w:rPr>
          <w:t>https://www.kingsfund.org.uk/publications/health-social-care-white-paper-explained</w:t>
        </w:r>
      </w:hyperlink>
      <w:r w:rsidRPr="00A64D5D">
        <w:rPr>
          <w:sz w:val="20"/>
          <w:szCs w:val="20"/>
        </w:rPr>
        <w:t xml:space="preserve"> </w:t>
      </w:r>
    </w:p>
  </w:endnote>
  <w:endnote w:id="8">
    <w:p w14:paraId="7E67DABA" w14:textId="0CC6BB49" w:rsidR="00C653A4" w:rsidRPr="00A64D5D" w:rsidRDefault="00C653A4" w:rsidP="00514CB0">
      <w:pPr>
        <w:pStyle w:val="EndnoteText"/>
        <w:rPr>
          <w:sz w:val="20"/>
          <w:szCs w:val="20"/>
          <w:lang w:val="en-US"/>
        </w:rPr>
      </w:pPr>
      <w:r w:rsidRPr="00A64D5D">
        <w:rPr>
          <w:rStyle w:val="EndnoteReference"/>
          <w:sz w:val="20"/>
          <w:szCs w:val="20"/>
        </w:rPr>
        <w:endnoteRef/>
      </w:r>
      <w:r w:rsidRPr="00A64D5D">
        <w:rPr>
          <w:sz w:val="20"/>
          <w:szCs w:val="20"/>
        </w:rPr>
        <w:t xml:space="preserve"> </w:t>
      </w:r>
      <w:hyperlink r:id="rId7" w:history="1">
        <w:r w:rsidRPr="00A64D5D">
          <w:rPr>
            <w:rStyle w:val="Hyperlink"/>
            <w:sz w:val="20"/>
            <w:szCs w:val="20"/>
          </w:rPr>
          <w:t>https://www.kingsfund.org.uk/projects/positions/nhs-funding?gclid=Cj0KCQjwutaCBhDfARIsAJHWnHt4EYj3kooNqwJI_TIdP046xT4GZ3NYthfItGdjqL-OwjeGvk2TEIYaAmctEALw_wcB%20%20%20%20%20Kings%20Fund.%20‘NHS%20Funding:%20our%20position’.%20February%202021</w:t>
        </w:r>
      </w:hyperlink>
      <w:r w:rsidRPr="00A64D5D">
        <w:rPr>
          <w:sz w:val="20"/>
          <w:szCs w:val="20"/>
        </w:rPr>
        <w:t xml:space="preserve"> </w:t>
      </w:r>
    </w:p>
  </w:endnote>
  <w:endnote w:id="9">
    <w:p w14:paraId="3E714CE0" w14:textId="77777777" w:rsidR="00C653A4" w:rsidRPr="00A64D5D" w:rsidRDefault="00C653A4" w:rsidP="005D0B6C">
      <w:pPr>
        <w:pStyle w:val="EndnoteText"/>
        <w:rPr>
          <w:sz w:val="20"/>
          <w:szCs w:val="20"/>
          <w:lang w:val="en-US"/>
        </w:rPr>
      </w:pPr>
      <w:r w:rsidRPr="00A64D5D">
        <w:rPr>
          <w:rStyle w:val="EndnoteReference"/>
          <w:sz w:val="20"/>
          <w:szCs w:val="20"/>
        </w:rPr>
        <w:endnoteRef/>
      </w:r>
      <w:r w:rsidRPr="00A64D5D">
        <w:rPr>
          <w:sz w:val="20"/>
          <w:szCs w:val="20"/>
        </w:rPr>
        <w:t xml:space="preserve"> </w:t>
      </w:r>
      <w:hyperlink r:id="rId8" w:history="1">
        <w:r w:rsidRPr="00A64D5D">
          <w:rPr>
            <w:rStyle w:val="Hyperlink"/>
            <w:sz w:val="20"/>
            <w:szCs w:val="20"/>
          </w:rPr>
          <w:t>https://www.nuffieldtrust.org.uk/files/2019-01/nutj6871-age-uk-care-190130-web.pdf</w:t>
        </w:r>
      </w:hyperlink>
    </w:p>
  </w:endnote>
  <w:endnote w:id="10">
    <w:p w14:paraId="3B1E90B0" w14:textId="52E622A9" w:rsidR="00C653A4" w:rsidRPr="00A64D5D" w:rsidRDefault="00C653A4" w:rsidP="005D0B6C">
      <w:pPr>
        <w:pStyle w:val="EndnoteText"/>
        <w:rPr>
          <w:sz w:val="20"/>
          <w:szCs w:val="20"/>
          <w:lang w:val="en-US"/>
        </w:rPr>
      </w:pPr>
      <w:r w:rsidRPr="00A64D5D">
        <w:rPr>
          <w:rStyle w:val="EndnoteReference"/>
          <w:sz w:val="20"/>
          <w:szCs w:val="20"/>
        </w:rPr>
        <w:endnoteRef/>
      </w:r>
      <w:r w:rsidRPr="00A64D5D">
        <w:rPr>
          <w:sz w:val="20"/>
          <w:szCs w:val="20"/>
        </w:rPr>
        <w:t xml:space="preserve"> </w:t>
      </w:r>
      <w:hyperlink r:id="rId9" w:history="1">
        <w:r w:rsidRPr="00A64D5D">
          <w:rPr>
            <w:rStyle w:val="Hyperlink"/>
            <w:sz w:val="20"/>
            <w:szCs w:val="20"/>
          </w:rPr>
          <w:t>https://www.england.nhs.uk/integratedcare/phm/</w:t>
        </w:r>
      </w:hyperlink>
      <w:r w:rsidRPr="00A64D5D">
        <w:rPr>
          <w:sz w:val="20"/>
          <w:szCs w:val="20"/>
        </w:rPr>
        <w:t xml:space="preserve"> </w:t>
      </w:r>
    </w:p>
  </w:endnote>
  <w:endnote w:id="11">
    <w:p w14:paraId="1EA17AB8" w14:textId="77777777" w:rsidR="00C653A4" w:rsidRPr="00A64D5D" w:rsidRDefault="00C653A4" w:rsidP="005D0B6C">
      <w:pPr>
        <w:rPr>
          <w:sz w:val="20"/>
          <w:szCs w:val="20"/>
        </w:rPr>
      </w:pPr>
      <w:r w:rsidRPr="00A64D5D">
        <w:rPr>
          <w:rStyle w:val="EndnoteReference"/>
          <w:sz w:val="20"/>
          <w:szCs w:val="20"/>
        </w:rPr>
        <w:endnoteRef/>
      </w:r>
      <w:r w:rsidRPr="00A64D5D">
        <w:rPr>
          <w:sz w:val="20"/>
          <w:szCs w:val="20"/>
        </w:rPr>
        <w:t xml:space="preserve"> </w:t>
      </w:r>
      <w:hyperlink r:id="rId10" w:anchor="metadata_info_tab_contents" w:history="1">
        <w:r w:rsidRPr="00A64D5D">
          <w:rPr>
            <w:rStyle w:val="Hyperlink"/>
            <w:sz w:val="20"/>
            <w:szCs w:val="20"/>
          </w:rPr>
          <w:t>https://www.jstor.org/stable/45276644?read-now=1&amp;seq=1#metadata_info_tab_contents</w:t>
        </w:r>
      </w:hyperlink>
      <w:r w:rsidRPr="00A64D5D">
        <w:rPr>
          <w:sz w:val="20"/>
          <w:szCs w:val="20"/>
        </w:rPr>
        <w:t xml:space="preserve"> </w:t>
      </w:r>
    </w:p>
  </w:endnote>
  <w:endnote w:id="12">
    <w:p w14:paraId="10965BB1" w14:textId="3BC4E2F8" w:rsidR="00C653A4" w:rsidRPr="00A64D5D" w:rsidRDefault="00C653A4" w:rsidP="00A7631A">
      <w:pPr>
        <w:pStyle w:val="EndnoteText"/>
        <w:rPr>
          <w:sz w:val="20"/>
          <w:szCs w:val="20"/>
          <w:lang w:val="en-US"/>
        </w:rPr>
      </w:pPr>
      <w:r w:rsidRPr="00A64D5D">
        <w:rPr>
          <w:rStyle w:val="EndnoteReference"/>
          <w:sz w:val="20"/>
          <w:szCs w:val="20"/>
        </w:rPr>
        <w:endnoteRef/>
      </w:r>
      <w:r w:rsidRPr="00A64D5D">
        <w:rPr>
          <w:sz w:val="20"/>
          <w:szCs w:val="20"/>
        </w:rPr>
        <w:t xml:space="preserve"> </w:t>
      </w:r>
      <w:hyperlink r:id="rId11" w:history="1">
        <w:r w:rsidRPr="00A64D5D">
          <w:rPr>
            <w:rStyle w:val="Hyperlink"/>
            <w:sz w:val="20"/>
            <w:szCs w:val="20"/>
          </w:rPr>
          <w:t>https://www.england.nhs.uk/wp-content/uploads/2021/01/integrating-care-next-steps-to-building-strong-and-effective-integrated-care-systems.pdf</w:t>
        </w:r>
      </w:hyperlink>
      <w:r w:rsidRPr="00A64D5D">
        <w:rPr>
          <w:sz w:val="20"/>
          <w:szCs w:val="20"/>
        </w:rPr>
        <w:t xml:space="preserve"> </w:t>
      </w:r>
    </w:p>
  </w:endnote>
  <w:endnote w:id="13">
    <w:p w14:paraId="6840854A" w14:textId="77777777" w:rsidR="00C653A4" w:rsidRPr="00A64D5D" w:rsidRDefault="00C653A4" w:rsidP="0016633A">
      <w:pPr>
        <w:pStyle w:val="EndnoteText"/>
        <w:rPr>
          <w:sz w:val="20"/>
          <w:szCs w:val="20"/>
          <w:lang w:val="en-US"/>
        </w:rPr>
      </w:pPr>
      <w:r w:rsidRPr="00A64D5D">
        <w:rPr>
          <w:rStyle w:val="EndnoteReference"/>
          <w:sz w:val="20"/>
          <w:szCs w:val="20"/>
        </w:rPr>
        <w:endnoteRef/>
      </w:r>
      <w:hyperlink r:id="rId12" w:history="1">
        <w:r w:rsidRPr="00A64D5D">
          <w:rPr>
            <w:rStyle w:val="Hyperlink"/>
            <w:sz w:val="20"/>
            <w:szCs w:val="20"/>
          </w:rPr>
          <w:t>http://data.parliament.uk/writtenevidence/committeeevidence.svc/evidencedocument/health-and-social-care-committee/nhs-longterm-plan-legislative-proposals/written/97675.html</w:t>
        </w:r>
      </w:hyperlink>
      <w:r w:rsidRPr="00A64D5D">
        <w:rPr>
          <w:sz w:val="20"/>
          <w:szCs w:val="20"/>
        </w:rPr>
        <w:t xml:space="preserve"> </w:t>
      </w:r>
    </w:p>
  </w:endnote>
  <w:endnote w:id="14">
    <w:p w14:paraId="0E464DA4" w14:textId="77777777" w:rsidR="00C653A4" w:rsidRPr="00A64D5D" w:rsidRDefault="00C653A4" w:rsidP="0016633A">
      <w:pPr>
        <w:pStyle w:val="EndnoteText"/>
        <w:rPr>
          <w:sz w:val="20"/>
          <w:szCs w:val="20"/>
          <w:lang w:val="en-US"/>
        </w:rPr>
      </w:pPr>
      <w:r w:rsidRPr="00A64D5D">
        <w:rPr>
          <w:rStyle w:val="EndnoteReference"/>
          <w:sz w:val="20"/>
          <w:szCs w:val="20"/>
        </w:rPr>
        <w:endnoteRef/>
      </w:r>
      <w:r w:rsidRPr="00A64D5D">
        <w:rPr>
          <w:sz w:val="20"/>
          <w:szCs w:val="20"/>
        </w:rPr>
        <w:t xml:space="preserve"> ibid.</w:t>
      </w:r>
    </w:p>
  </w:endnote>
  <w:endnote w:id="15">
    <w:p w14:paraId="54682C1B" w14:textId="02032C73" w:rsidR="00C653A4" w:rsidRPr="00A64D5D" w:rsidRDefault="00C653A4" w:rsidP="0016633A">
      <w:pPr>
        <w:pStyle w:val="EndnoteText"/>
        <w:rPr>
          <w:sz w:val="20"/>
          <w:szCs w:val="20"/>
          <w:lang w:val="en-US"/>
        </w:rPr>
      </w:pPr>
      <w:r w:rsidRPr="00A64D5D">
        <w:rPr>
          <w:rStyle w:val="EndnoteReference"/>
          <w:sz w:val="20"/>
          <w:szCs w:val="20"/>
        </w:rPr>
        <w:endnoteRef/>
      </w:r>
      <w:hyperlink r:id="rId13" w:history="1">
        <w:r w:rsidRPr="00A64D5D">
          <w:rPr>
            <w:rStyle w:val="Hyperlink"/>
            <w:sz w:val="20"/>
            <w:szCs w:val="20"/>
          </w:rPr>
          <w:t>https://improvement.nhs.uk/documents/6779/Developing_the_payment_system_for_2021-22.pdf</w:t>
        </w:r>
      </w:hyperlink>
      <w:r w:rsidRPr="00A64D5D">
        <w:rPr>
          <w:sz w:val="20"/>
          <w:szCs w:val="20"/>
        </w:rPr>
        <w:t xml:space="preserve"> </w:t>
      </w:r>
    </w:p>
  </w:endnote>
  <w:endnote w:id="16">
    <w:p w14:paraId="3B70EC96" w14:textId="56845C02" w:rsidR="00C653A4" w:rsidRPr="00A64D5D" w:rsidRDefault="00C653A4" w:rsidP="0016633A">
      <w:pPr>
        <w:pStyle w:val="EndnoteText"/>
        <w:rPr>
          <w:sz w:val="20"/>
          <w:szCs w:val="20"/>
          <w:lang w:val="en-US"/>
        </w:rPr>
      </w:pPr>
      <w:r w:rsidRPr="00A64D5D">
        <w:rPr>
          <w:rStyle w:val="EndnoteReference"/>
          <w:sz w:val="20"/>
          <w:szCs w:val="20"/>
        </w:rPr>
        <w:endnoteRef/>
      </w:r>
      <w:r w:rsidRPr="00A64D5D">
        <w:rPr>
          <w:sz w:val="20"/>
          <w:szCs w:val="20"/>
        </w:rPr>
        <w:t xml:space="preserve"> </w:t>
      </w:r>
      <w:hyperlink r:id="rId14" w:history="1">
        <w:r w:rsidRPr="00A64D5D">
          <w:rPr>
            <w:rStyle w:val="Hyperlink"/>
            <w:sz w:val="20"/>
            <w:szCs w:val="20"/>
          </w:rPr>
          <w:t>https://www.longtermplan.nhs.uk/wp-content/uploads/2019/05/Interim-NHS-People-Plan_June2019.pdf</w:t>
        </w:r>
      </w:hyperlink>
      <w:r w:rsidRPr="00A64D5D">
        <w:rPr>
          <w:sz w:val="20"/>
          <w:szCs w:val="20"/>
        </w:rPr>
        <w:t xml:space="preserve"> </w:t>
      </w:r>
    </w:p>
  </w:endnote>
  <w:endnote w:id="17">
    <w:p w14:paraId="3EC2CBBA" w14:textId="5AB226D9" w:rsidR="00C653A4" w:rsidRPr="00A64D5D" w:rsidRDefault="00C653A4" w:rsidP="000920CC">
      <w:pPr>
        <w:pStyle w:val="EndnoteText"/>
        <w:rPr>
          <w:sz w:val="20"/>
          <w:szCs w:val="20"/>
          <w:lang w:val="en-US"/>
        </w:rPr>
      </w:pPr>
      <w:r w:rsidRPr="00A64D5D">
        <w:rPr>
          <w:rStyle w:val="EndnoteReference"/>
          <w:sz w:val="20"/>
          <w:szCs w:val="20"/>
        </w:rPr>
        <w:endnoteRef/>
      </w:r>
      <w:r w:rsidRPr="00A64D5D">
        <w:rPr>
          <w:sz w:val="20"/>
          <w:szCs w:val="20"/>
        </w:rPr>
        <w:t xml:space="preserve"> </w:t>
      </w:r>
      <w:hyperlink r:id="rId15" w:history="1">
        <w:r w:rsidRPr="00A64D5D">
          <w:rPr>
            <w:rStyle w:val="Hyperlink"/>
            <w:sz w:val="20"/>
            <w:szCs w:val="20"/>
          </w:rPr>
          <w:t>https://www.england.nhs.uk/wp-content/uploads/2014/10/5yfv-web.pdf</w:t>
        </w:r>
      </w:hyperlink>
      <w:r w:rsidRPr="00A64D5D">
        <w:rPr>
          <w:sz w:val="20"/>
          <w:szCs w:val="20"/>
        </w:rPr>
        <w:t xml:space="preserve"> </w:t>
      </w:r>
    </w:p>
  </w:endnote>
  <w:endnote w:id="18">
    <w:p w14:paraId="520E7EED" w14:textId="69F570C1" w:rsidR="00C653A4" w:rsidRPr="00D671E5" w:rsidRDefault="00C653A4" w:rsidP="000920CC">
      <w:pPr>
        <w:pStyle w:val="EndnoteText"/>
        <w:rPr>
          <w:lang w:val="en-US"/>
        </w:rPr>
      </w:pPr>
      <w:r w:rsidRPr="00A64D5D">
        <w:rPr>
          <w:rStyle w:val="EndnoteReference"/>
          <w:sz w:val="20"/>
          <w:szCs w:val="20"/>
        </w:rPr>
        <w:endnoteRef/>
      </w:r>
      <w:r w:rsidRPr="00A64D5D">
        <w:rPr>
          <w:sz w:val="20"/>
          <w:szCs w:val="20"/>
        </w:rPr>
        <w:t xml:space="preserve"> </w:t>
      </w:r>
      <w:hyperlink r:id="rId16" w:history="1">
        <w:r w:rsidRPr="00A64D5D">
          <w:rPr>
            <w:rStyle w:val="Hyperlink"/>
            <w:sz w:val="20"/>
            <w:szCs w:val="20"/>
          </w:rPr>
          <w:t>https://www.longtermplan.nhs.uk/wp-content/uploads/2019/08/nhs-long-term-plan-version-1.2.pdf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1"/>
    <w:family w:val="roman"/>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515D" w14:textId="77777777" w:rsidR="00C653A4" w:rsidRDefault="00C653A4" w:rsidP="006359C4">
      <w:r>
        <w:separator/>
      </w:r>
    </w:p>
  </w:footnote>
  <w:footnote w:type="continuationSeparator" w:id="0">
    <w:p w14:paraId="49947F1F" w14:textId="77777777" w:rsidR="00C653A4" w:rsidRDefault="00C653A4" w:rsidP="006359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A2A"/>
    <w:multiLevelType w:val="hybridMultilevel"/>
    <w:tmpl w:val="9A94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248F"/>
    <w:multiLevelType w:val="hybridMultilevel"/>
    <w:tmpl w:val="904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44C34"/>
    <w:multiLevelType w:val="hybridMultilevel"/>
    <w:tmpl w:val="0A3E32FC"/>
    <w:lvl w:ilvl="0" w:tplc="82CC5CF2">
      <w:start w:val="9"/>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9687A"/>
    <w:multiLevelType w:val="hybridMultilevel"/>
    <w:tmpl w:val="AA806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E1074"/>
    <w:multiLevelType w:val="hybridMultilevel"/>
    <w:tmpl w:val="B36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8214C"/>
    <w:multiLevelType w:val="hybridMultilevel"/>
    <w:tmpl w:val="35B26D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95517"/>
    <w:multiLevelType w:val="hybridMultilevel"/>
    <w:tmpl w:val="58A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4014E"/>
    <w:multiLevelType w:val="multilevel"/>
    <w:tmpl w:val="6E24F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833E68"/>
    <w:multiLevelType w:val="hybridMultilevel"/>
    <w:tmpl w:val="2D2690E4"/>
    <w:lvl w:ilvl="0" w:tplc="8152A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201A7"/>
    <w:multiLevelType w:val="multilevel"/>
    <w:tmpl w:val="22D6C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A1FCE"/>
    <w:multiLevelType w:val="hybridMultilevel"/>
    <w:tmpl w:val="D25E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90353"/>
    <w:multiLevelType w:val="hybridMultilevel"/>
    <w:tmpl w:val="7E1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2"/>
  </w:num>
  <w:num w:numId="7">
    <w:abstractNumId w:val="3"/>
  </w:num>
  <w:num w:numId="8">
    <w:abstractNumId w:val="0"/>
  </w:num>
  <w:num w:numId="9">
    <w:abstractNumId w:val="6"/>
  </w:num>
  <w:num w:numId="10">
    <w:abstractNumId w:val="5"/>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Blanchard">
    <w15:presenceInfo w15:providerId="Windows Live" w15:userId="1ec4063662893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95"/>
    <w:rsid w:val="00007236"/>
    <w:rsid w:val="000074C3"/>
    <w:rsid w:val="00052F06"/>
    <w:rsid w:val="000538A9"/>
    <w:rsid w:val="000555D7"/>
    <w:rsid w:val="000920CC"/>
    <w:rsid w:val="000B7C63"/>
    <w:rsid w:val="00123579"/>
    <w:rsid w:val="00130815"/>
    <w:rsid w:val="0016633A"/>
    <w:rsid w:val="0017019A"/>
    <w:rsid w:val="00170DE6"/>
    <w:rsid w:val="0018501A"/>
    <w:rsid w:val="001862FD"/>
    <w:rsid w:val="00193A97"/>
    <w:rsid w:val="00203DCA"/>
    <w:rsid w:val="00253476"/>
    <w:rsid w:val="00271467"/>
    <w:rsid w:val="0027416D"/>
    <w:rsid w:val="00276F2B"/>
    <w:rsid w:val="00281D19"/>
    <w:rsid w:val="002855BD"/>
    <w:rsid w:val="00293515"/>
    <w:rsid w:val="002A12D8"/>
    <w:rsid w:val="002B5D0D"/>
    <w:rsid w:val="002B6548"/>
    <w:rsid w:val="002C2105"/>
    <w:rsid w:val="002D3AE3"/>
    <w:rsid w:val="002E4B18"/>
    <w:rsid w:val="002F64A0"/>
    <w:rsid w:val="003135DE"/>
    <w:rsid w:val="00341570"/>
    <w:rsid w:val="00354B1A"/>
    <w:rsid w:val="00362DC0"/>
    <w:rsid w:val="00376CC7"/>
    <w:rsid w:val="00382AD7"/>
    <w:rsid w:val="003B11C2"/>
    <w:rsid w:val="003B6880"/>
    <w:rsid w:val="003D4935"/>
    <w:rsid w:val="003E2AA6"/>
    <w:rsid w:val="003F1CB6"/>
    <w:rsid w:val="0040100B"/>
    <w:rsid w:val="00402375"/>
    <w:rsid w:val="00417EF8"/>
    <w:rsid w:val="00422B79"/>
    <w:rsid w:val="00426B1E"/>
    <w:rsid w:val="0042754C"/>
    <w:rsid w:val="00442777"/>
    <w:rsid w:val="0045280B"/>
    <w:rsid w:val="00460776"/>
    <w:rsid w:val="004716FA"/>
    <w:rsid w:val="00477299"/>
    <w:rsid w:val="00484BFF"/>
    <w:rsid w:val="004B04C2"/>
    <w:rsid w:val="004C0DA7"/>
    <w:rsid w:val="004C7974"/>
    <w:rsid w:val="004D143C"/>
    <w:rsid w:val="004D431C"/>
    <w:rsid w:val="004D638E"/>
    <w:rsid w:val="004E631E"/>
    <w:rsid w:val="004F2698"/>
    <w:rsid w:val="004F6BBD"/>
    <w:rsid w:val="005068C4"/>
    <w:rsid w:val="00514CB0"/>
    <w:rsid w:val="0051651A"/>
    <w:rsid w:val="005279E9"/>
    <w:rsid w:val="00554D1C"/>
    <w:rsid w:val="005673B1"/>
    <w:rsid w:val="00570128"/>
    <w:rsid w:val="005A1358"/>
    <w:rsid w:val="005C4B73"/>
    <w:rsid w:val="005D0B6C"/>
    <w:rsid w:val="005E1B95"/>
    <w:rsid w:val="005E3F80"/>
    <w:rsid w:val="005E6051"/>
    <w:rsid w:val="00601CF9"/>
    <w:rsid w:val="006026D9"/>
    <w:rsid w:val="0061737F"/>
    <w:rsid w:val="006313D8"/>
    <w:rsid w:val="006359C4"/>
    <w:rsid w:val="00651589"/>
    <w:rsid w:val="00667A72"/>
    <w:rsid w:val="006840FC"/>
    <w:rsid w:val="00685698"/>
    <w:rsid w:val="006906B9"/>
    <w:rsid w:val="00693269"/>
    <w:rsid w:val="006A28D7"/>
    <w:rsid w:val="006C7992"/>
    <w:rsid w:val="006E77A3"/>
    <w:rsid w:val="00710CE3"/>
    <w:rsid w:val="00750219"/>
    <w:rsid w:val="007573B7"/>
    <w:rsid w:val="0077322E"/>
    <w:rsid w:val="007A5AB1"/>
    <w:rsid w:val="007A776F"/>
    <w:rsid w:val="007C1374"/>
    <w:rsid w:val="007C3E16"/>
    <w:rsid w:val="007D07D0"/>
    <w:rsid w:val="007E56F4"/>
    <w:rsid w:val="00805152"/>
    <w:rsid w:val="008100CA"/>
    <w:rsid w:val="00816B59"/>
    <w:rsid w:val="00820DBB"/>
    <w:rsid w:val="00874C08"/>
    <w:rsid w:val="008A0CF8"/>
    <w:rsid w:val="008A2CE5"/>
    <w:rsid w:val="008A5749"/>
    <w:rsid w:val="008B2547"/>
    <w:rsid w:val="008C00ED"/>
    <w:rsid w:val="008C7091"/>
    <w:rsid w:val="008F0DA5"/>
    <w:rsid w:val="008F2267"/>
    <w:rsid w:val="00903912"/>
    <w:rsid w:val="009129EB"/>
    <w:rsid w:val="00920B1E"/>
    <w:rsid w:val="00932F79"/>
    <w:rsid w:val="00956FAC"/>
    <w:rsid w:val="009577FB"/>
    <w:rsid w:val="00967548"/>
    <w:rsid w:val="00991C3B"/>
    <w:rsid w:val="009A4CDC"/>
    <w:rsid w:val="009A5D8B"/>
    <w:rsid w:val="009D1366"/>
    <w:rsid w:val="009D7448"/>
    <w:rsid w:val="009E01BF"/>
    <w:rsid w:val="009E6B5D"/>
    <w:rsid w:val="00A30327"/>
    <w:rsid w:val="00A3548A"/>
    <w:rsid w:val="00A46E26"/>
    <w:rsid w:val="00A517AD"/>
    <w:rsid w:val="00A63CB9"/>
    <w:rsid w:val="00A64D5D"/>
    <w:rsid w:val="00A7631A"/>
    <w:rsid w:val="00A8437C"/>
    <w:rsid w:val="00A9537D"/>
    <w:rsid w:val="00AC3065"/>
    <w:rsid w:val="00AD575D"/>
    <w:rsid w:val="00AD7188"/>
    <w:rsid w:val="00AF56D6"/>
    <w:rsid w:val="00B01CCA"/>
    <w:rsid w:val="00B054BD"/>
    <w:rsid w:val="00B14E4B"/>
    <w:rsid w:val="00B71262"/>
    <w:rsid w:val="00B86A00"/>
    <w:rsid w:val="00BC3FD3"/>
    <w:rsid w:val="00BD4007"/>
    <w:rsid w:val="00BE28B8"/>
    <w:rsid w:val="00BF344A"/>
    <w:rsid w:val="00BF4506"/>
    <w:rsid w:val="00C307FF"/>
    <w:rsid w:val="00C370AD"/>
    <w:rsid w:val="00C37103"/>
    <w:rsid w:val="00C430C7"/>
    <w:rsid w:val="00C53359"/>
    <w:rsid w:val="00C57386"/>
    <w:rsid w:val="00C646B1"/>
    <w:rsid w:val="00C64994"/>
    <w:rsid w:val="00C653A4"/>
    <w:rsid w:val="00C727FC"/>
    <w:rsid w:val="00C75D7B"/>
    <w:rsid w:val="00CA1A76"/>
    <w:rsid w:val="00CA4FA9"/>
    <w:rsid w:val="00CB3461"/>
    <w:rsid w:val="00CC251A"/>
    <w:rsid w:val="00CD1C2B"/>
    <w:rsid w:val="00CF02C6"/>
    <w:rsid w:val="00D17706"/>
    <w:rsid w:val="00D356FC"/>
    <w:rsid w:val="00D372DD"/>
    <w:rsid w:val="00D43E5A"/>
    <w:rsid w:val="00D4756F"/>
    <w:rsid w:val="00D671E5"/>
    <w:rsid w:val="00D6753A"/>
    <w:rsid w:val="00D74A68"/>
    <w:rsid w:val="00D803E0"/>
    <w:rsid w:val="00DA1436"/>
    <w:rsid w:val="00DA7533"/>
    <w:rsid w:val="00DC0C22"/>
    <w:rsid w:val="00DD1625"/>
    <w:rsid w:val="00DD58FD"/>
    <w:rsid w:val="00DE005B"/>
    <w:rsid w:val="00DF108A"/>
    <w:rsid w:val="00E023FF"/>
    <w:rsid w:val="00E1442B"/>
    <w:rsid w:val="00E56012"/>
    <w:rsid w:val="00E94ED7"/>
    <w:rsid w:val="00EA47E7"/>
    <w:rsid w:val="00EA4FB5"/>
    <w:rsid w:val="00EB69C4"/>
    <w:rsid w:val="00EC1E50"/>
    <w:rsid w:val="00ED2C95"/>
    <w:rsid w:val="00ED65FA"/>
    <w:rsid w:val="00F01238"/>
    <w:rsid w:val="00F12431"/>
    <w:rsid w:val="00F16F07"/>
    <w:rsid w:val="00F20EB5"/>
    <w:rsid w:val="00F320EB"/>
    <w:rsid w:val="00F7542E"/>
    <w:rsid w:val="00F86553"/>
    <w:rsid w:val="00FA76B6"/>
    <w:rsid w:val="00FC3B1F"/>
    <w:rsid w:val="00FC4CBB"/>
    <w:rsid w:val="00FD3CF7"/>
    <w:rsid w:val="00FF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27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C95"/>
  </w:style>
  <w:style w:type="character" w:styleId="Emphasis">
    <w:name w:val="Emphasis"/>
    <w:basedOn w:val="DefaultParagraphFont"/>
    <w:uiPriority w:val="20"/>
    <w:qFormat/>
    <w:rsid w:val="00ED2C95"/>
    <w:rPr>
      <w:i/>
      <w:iCs/>
    </w:rPr>
  </w:style>
  <w:style w:type="character" w:styleId="Hyperlink">
    <w:name w:val="Hyperlink"/>
    <w:basedOn w:val="DefaultParagraphFont"/>
    <w:uiPriority w:val="99"/>
    <w:unhideWhenUsed/>
    <w:rsid w:val="005E6051"/>
    <w:rPr>
      <w:color w:val="0000FF"/>
      <w:u w:val="single"/>
    </w:rPr>
  </w:style>
  <w:style w:type="paragraph" w:styleId="BalloonText">
    <w:name w:val="Balloon Text"/>
    <w:basedOn w:val="Normal"/>
    <w:link w:val="BalloonTextChar"/>
    <w:uiPriority w:val="99"/>
    <w:semiHidden/>
    <w:unhideWhenUsed/>
    <w:rsid w:val="00CA4FA9"/>
    <w:rPr>
      <w:rFonts w:ascii="Arial" w:hAnsi="Arial" w:cs="Arial"/>
      <w:sz w:val="18"/>
      <w:szCs w:val="18"/>
    </w:rPr>
  </w:style>
  <w:style w:type="character" w:customStyle="1" w:styleId="BalloonTextChar">
    <w:name w:val="Balloon Text Char"/>
    <w:basedOn w:val="DefaultParagraphFont"/>
    <w:link w:val="BalloonText"/>
    <w:uiPriority w:val="99"/>
    <w:semiHidden/>
    <w:rsid w:val="00CA4FA9"/>
    <w:rPr>
      <w:rFonts w:ascii="Arial" w:hAnsi="Arial" w:cs="Arial"/>
      <w:sz w:val="18"/>
      <w:szCs w:val="18"/>
      <w:lang w:val="en-GB"/>
    </w:rPr>
  </w:style>
  <w:style w:type="paragraph" w:styleId="ListParagraph">
    <w:name w:val="List Paragraph"/>
    <w:basedOn w:val="Normal"/>
    <w:uiPriority w:val="34"/>
    <w:qFormat/>
    <w:rsid w:val="001862FD"/>
    <w:pPr>
      <w:ind w:left="720"/>
      <w:contextualSpacing/>
    </w:pPr>
  </w:style>
  <w:style w:type="paragraph" w:styleId="NormalWeb">
    <w:name w:val="Normal (Web)"/>
    <w:basedOn w:val="Normal"/>
    <w:uiPriority w:val="99"/>
    <w:unhideWhenUsed/>
    <w:rsid w:val="004F6BBD"/>
    <w:pPr>
      <w:spacing w:before="100" w:beforeAutospacing="1" w:after="100" w:afterAutospacing="1"/>
    </w:pPr>
    <w:rPr>
      <w:rFonts w:ascii="Times New Roman" w:hAnsi="Times New Roman" w:cs="Times New Roman"/>
      <w:sz w:val="20"/>
      <w:szCs w:val="20"/>
    </w:rPr>
  </w:style>
  <w:style w:type="paragraph" w:styleId="EndnoteText">
    <w:name w:val="endnote text"/>
    <w:basedOn w:val="Normal"/>
    <w:link w:val="EndnoteTextChar"/>
    <w:uiPriority w:val="99"/>
    <w:unhideWhenUsed/>
    <w:rsid w:val="006359C4"/>
  </w:style>
  <w:style w:type="character" w:customStyle="1" w:styleId="EndnoteTextChar">
    <w:name w:val="Endnote Text Char"/>
    <w:basedOn w:val="DefaultParagraphFont"/>
    <w:link w:val="EndnoteText"/>
    <w:uiPriority w:val="99"/>
    <w:rsid w:val="006359C4"/>
    <w:rPr>
      <w:lang w:val="en-GB"/>
    </w:rPr>
  </w:style>
  <w:style w:type="character" w:styleId="EndnoteReference">
    <w:name w:val="endnote reference"/>
    <w:basedOn w:val="DefaultParagraphFont"/>
    <w:uiPriority w:val="99"/>
    <w:unhideWhenUsed/>
    <w:rsid w:val="006359C4"/>
    <w:rPr>
      <w:vertAlign w:val="superscript"/>
    </w:rPr>
  </w:style>
  <w:style w:type="character" w:styleId="FollowedHyperlink">
    <w:name w:val="FollowedHyperlink"/>
    <w:basedOn w:val="DefaultParagraphFont"/>
    <w:uiPriority w:val="99"/>
    <w:semiHidden/>
    <w:unhideWhenUsed/>
    <w:rsid w:val="006359C4"/>
    <w:rPr>
      <w:color w:val="800080" w:themeColor="followedHyperlink"/>
      <w:u w:val="single"/>
    </w:rPr>
  </w:style>
  <w:style w:type="character" w:styleId="Strong">
    <w:name w:val="Strong"/>
    <w:basedOn w:val="DefaultParagraphFont"/>
    <w:uiPriority w:val="22"/>
    <w:qFormat/>
    <w:rsid w:val="004772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C95"/>
  </w:style>
  <w:style w:type="character" w:styleId="Emphasis">
    <w:name w:val="Emphasis"/>
    <w:basedOn w:val="DefaultParagraphFont"/>
    <w:uiPriority w:val="20"/>
    <w:qFormat/>
    <w:rsid w:val="00ED2C95"/>
    <w:rPr>
      <w:i/>
      <w:iCs/>
    </w:rPr>
  </w:style>
  <w:style w:type="character" w:styleId="Hyperlink">
    <w:name w:val="Hyperlink"/>
    <w:basedOn w:val="DefaultParagraphFont"/>
    <w:uiPriority w:val="99"/>
    <w:unhideWhenUsed/>
    <w:rsid w:val="005E6051"/>
    <w:rPr>
      <w:color w:val="0000FF"/>
      <w:u w:val="single"/>
    </w:rPr>
  </w:style>
  <w:style w:type="paragraph" w:styleId="BalloonText">
    <w:name w:val="Balloon Text"/>
    <w:basedOn w:val="Normal"/>
    <w:link w:val="BalloonTextChar"/>
    <w:uiPriority w:val="99"/>
    <w:semiHidden/>
    <w:unhideWhenUsed/>
    <w:rsid w:val="00CA4FA9"/>
    <w:rPr>
      <w:rFonts w:ascii="Arial" w:hAnsi="Arial" w:cs="Arial"/>
      <w:sz w:val="18"/>
      <w:szCs w:val="18"/>
    </w:rPr>
  </w:style>
  <w:style w:type="character" w:customStyle="1" w:styleId="BalloonTextChar">
    <w:name w:val="Balloon Text Char"/>
    <w:basedOn w:val="DefaultParagraphFont"/>
    <w:link w:val="BalloonText"/>
    <w:uiPriority w:val="99"/>
    <w:semiHidden/>
    <w:rsid w:val="00CA4FA9"/>
    <w:rPr>
      <w:rFonts w:ascii="Arial" w:hAnsi="Arial" w:cs="Arial"/>
      <w:sz w:val="18"/>
      <w:szCs w:val="18"/>
      <w:lang w:val="en-GB"/>
    </w:rPr>
  </w:style>
  <w:style w:type="paragraph" w:styleId="ListParagraph">
    <w:name w:val="List Paragraph"/>
    <w:basedOn w:val="Normal"/>
    <w:uiPriority w:val="34"/>
    <w:qFormat/>
    <w:rsid w:val="001862FD"/>
    <w:pPr>
      <w:ind w:left="720"/>
      <w:contextualSpacing/>
    </w:pPr>
  </w:style>
  <w:style w:type="paragraph" w:styleId="NormalWeb">
    <w:name w:val="Normal (Web)"/>
    <w:basedOn w:val="Normal"/>
    <w:uiPriority w:val="99"/>
    <w:unhideWhenUsed/>
    <w:rsid w:val="004F6BBD"/>
    <w:pPr>
      <w:spacing w:before="100" w:beforeAutospacing="1" w:after="100" w:afterAutospacing="1"/>
    </w:pPr>
    <w:rPr>
      <w:rFonts w:ascii="Times New Roman" w:hAnsi="Times New Roman" w:cs="Times New Roman"/>
      <w:sz w:val="20"/>
      <w:szCs w:val="20"/>
    </w:rPr>
  </w:style>
  <w:style w:type="paragraph" w:styleId="EndnoteText">
    <w:name w:val="endnote text"/>
    <w:basedOn w:val="Normal"/>
    <w:link w:val="EndnoteTextChar"/>
    <w:uiPriority w:val="99"/>
    <w:unhideWhenUsed/>
    <w:rsid w:val="006359C4"/>
  </w:style>
  <w:style w:type="character" w:customStyle="1" w:styleId="EndnoteTextChar">
    <w:name w:val="Endnote Text Char"/>
    <w:basedOn w:val="DefaultParagraphFont"/>
    <w:link w:val="EndnoteText"/>
    <w:uiPriority w:val="99"/>
    <w:rsid w:val="006359C4"/>
    <w:rPr>
      <w:lang w:val="en-GB"/>
    </w:rPr>
  </w:style>
  <w:style w:type="character" w:styleId="EndnoteReference">
    <w:name w:val="endnote reference"/>
    <w:basedOn w:val="DefaultParagraphFont"/>
    <w:uiPriority w:val="99"/>
    <w:unhideWhenUsed/>
    <w:rsid w:val="006359C4"/>
    <w:rPr>
      <w:vertAlign w:val="superscript"/>
    </w:rPr>
  </w:style>
  <w:style w:type="character" w:styleId="FollowedHyperlink">
    <w:name w:val="FollowedHyperlink"/>
    <w:basedOn w:val="DefaultParagraphFont"/>
    <w:uiPriority w:val="99"/>
    <w:semiHidden/>
    <w:unhideWhenUsed/>
    <w:rsid w:val="006359C4"/>
    <w:rPr>
      <w:color w:val="800080" w:themeColor="followedHyperlink"/>
      <w:u w:val="single"/>
    </w:rPr>
  </w:style>
  <w:style w:type="character" w:styleId="Strong">
    <w:name w:val="Strong"/>
    <w:basedOn w:val="DefaultParagraphFont"/>
    <w:uiPriority w:val="22"/>
    <w:qFormat/>
    <w:rsid w:val="00477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603">
      <w:bodyDiv w:val="1"/>
      <w:marLeft w:val="0"/>
      <w:marRight w:val="0"/>
      <w:marTop w:val="0"/>
      <w:marBottom w:val="0"/>
      <w:divBdr>
        <w:top w:val="none" w:sz="0" w:space="0" w:color="auto"/>
        <w:left w:val="none" w:sz="0" w:space="0" w:color="auto"/>
        <w:bottom w:val="none" w:sz="0" w:space="0" w:color="auto"/>
        <w:right w:val="none" w:sz="0" w:space="0" w:color="auto"/>
      </w:divBdr>
    </w:div>
    <w:div w:id="217014274">
      <w:bodyDiv w:val="1"/>
      <w:marLeft w:val="0"/>
      <w:marRight w:val="0"/>
      <w:marTop w:val="0"/>
      <w:marBottom w:val="0"/>
      <w:divBdr>
        <w:top w:val="none" w:sz="0" w:space="0" w:color="auto"/>
        <w:left w:val="none" w:sz="0" w:space="0" w:color="auto"/>
        <w:bottom w:val="none" w:sz="0" w:space="0" w:color="auto"/>
        <w:right w:val="none" w:sz="0" w:space="0" w:color="auto"/>
      </w:divBdr>
    </w:div>
    <w:div w:id="294721875">
      <w:bodyDiv w:val="1"/>
      <w:marLeft w:val="0"/>
      <w:marRight w:val="0"/>
      <w:marTop w:val="0"/>
      <w:marBottom w:val="0"/>
      <w:divBdr>
        <w:top w:val="none" w:sz="0" w:space="0" w:color="auto"/>
        <w:left w:val="none" w:sz="0" w:space="0" w:color="auto"/>
        <w:bottom w:val="none" w:sz="0" w:space="0" w:color="auto"/>
        <w:right w:val="none" w:sz="0" w:space="0" w:color="auto"/>
      </w:divBdr>
    </w:div>
    <w:div w:id="321542195">
      <w:bodyDiv w:val="1"/>
      <w:marLeft w:val="0"/>
      <w:marRight w:val="0"/>
      <w:marTop w:val="0"/>
      <w:marBottom w:val="0"/>
      <w:divBdr>
        <w:top w:val="none" w:sz="0" w:space="0" w:color="auto"/>
        <w:left w:val="none" w:sz="0" w:space="0" w:color="auto"/>
        <w:bottom w:val="none" w:sz="0" w:space="0" w:color="auto"/>
        <w:right w:val="none" w:sz="0" w:space="0" w:color="auto"/>
      </w:divBdr>
    </w:div>
    <w:div w:id="488249451">
      <w:bodyDiv w:val="1"/>
      <w:marLeft w:val="0"/>
      <w:marRight w:val="0"/>
      <w:marTop w:val="0"/>
      <w:marBottom w:val="0"/>
      <w:divBdr>
        <w:top w:val="none" w:sz="0" w:space="0" w:color="auto"/>
        <w:left w:val="none" w:sz="0" w:space="0" w:color="auto"/>
        <w:bottom w:val="none" w:sz="0" w:space="0" w:color="auto"/>
        <w:right w:val="none" w:sz="0" w:space="0" w:color="auto"/>
      </w:divBdr>
    </w:div>
    <w:div w:id="489103997">
      <w:bodyDiv w:val="1"/>
      <w:marLeft w:val="0"/>
      <w:marRight w:val="0"/>
      <w:marTop w:val="0"/>
      <w:marBottom w:val="0"/>
      <w:divBdr>
        <w:top w:val="none" w:sz="0" w:space="0" w:color="auto"/>
        <w:left w:val="none" w:sz="0" w:space="0" w:color="auto"/>
        <w:bottom w:val="none" w:sz="0" w:space="0" w:color="auto"/>
        <w:right w:val="none" w:sz="0" w:space="0" w:color="auto"/>
      </w:divBdr>
    </w:div>
    <w:div w:id="640766961">
      <w:bodyDiv w:val="1"/>
      <w:marLeft w:val="0"/>
      <w:marRight w:val="0"/>
      <w:marTop w:val="0"/>
      <w:marBottom w:val="0"/>
      <w:divBdr>
        <w:top w:val="none" w:sz="0" w:space="0" w:color="auto"/>
        <w:left w:val="none" w:sz="0" w:space="0" w:color="auto"/>
        <w:bottom w:val="none" w:sz="0" w:space="0" w:color="auto"/>
        <w:right w:val="none" w:sz="0" w:space="0" w:color="auto"/>
      </w:divBdr>
    </w:div>
    <w:div w:id="756830390">
      <w:bodyDiv w:val="1"/>
      <w:marLeft w:val="0"/>
      <w:marRight w:val="0"/>
      <w:marTop w:val="0"/>
      <w:marBottom w:val="0"/>
      <w:divBdr>
        <w:top w:val="none" w:sz="0" w:space="0" w:color="auto"/>
        <w:left w:val="none" w:sz="0" w:space="0" w:color="auto"/>
        <w:bottom w:val="none" w:sz="0" w:space="0" w:color="auto"/>
        <w:right w:val="none" w:sz="0" w:space="0" w:color="auto"/>
      </w:divBdr>
      <w:divsChild>
        <w:div w:id="1879658239">
          <w:marLeft w:val="0"/>
          <w:marRight w:val="0"/>
          <w:marTop w:val="0"/>
          <w:marBottom w:val="0"/>
          <w:divBdr>
            <w:top w:val="none" w:sz="0" w:space="0" w:color="auto"/>
            <w:left w:val="none" w:sz="0" w:space="0" w:color="auto"/>
            <w:bottom w:val="none" w:sz="0" w:space="0" w:color="auto"/>
            <w:right w:val="none" w:sz="0" w:space="0" w:color="auto"/>
          </w:divBdr>
        </w:div>
        <w:div w:id="577666680">
          <w:marLeft w:val="0"/>
          <w:marRight w:val="0"/>
          <w:marTop w:val="0"/>
          <w:marBottom w:val="0"/>
          <w:divBdr>
            <w:top w:val="none" w:sz="0" w:space="0" w:color="auto"/>
            <w:left w:val="none" w:sz="0" w:space="0" w:color="auto"/>
            <w:bottom w:val="none" w:sz="0" w:space="0" w:color="auto"/>
            <w:right w:val="none" w:sz="0" w:space="0" w:color="auto"/>
          </w:divBdr>
        </w:div>
        <w:div w:id="2002851867">
          <w:marLeft w:val="0"/>
          <w:marRight w:val="0"/>
          <w:marTop w:val="0"/>
          <w:marBottom w:val="0"/>
          <w:divBdr>
            <w:top w:val="none" w:sz="0" w:space="0" w:color="auto"/>
            <w:left w:val="none" w:sz="0" w:space="0" w:color="auto"/>
            <w:bottom w:val="none" w:sz="0" w:space="0" w:color="auto"/>
            <w:right w:val="none" w:sz="0" w:space="0" w:color="auto"/>
          </w:divBdr>
        </w:div>
        <w:div w:id="1330794459">
          <w:marLeft w:val="0"/>
          <w:marRight w:val="0"/>
          <w:marTop w:val="0"/>
          <w:marBottom w:val="0"/>
          <w:divBdr>
            <w:top w:val="none" w:sz="0" w:space="0" w:color="auto"/>
            <w:left w:val="none" w:sz="0" w:space="0" w:color="auto"/>
            <w:bottom w:val="none" w:sz="0" w:space="0" w:color="auto"/>
            <w:right w:val="none" w:sz="0" w:space="0" w:color="auto"/>
          </w:divBdr>
        </w:div>
      </w:divsChild>
    </w:div>
    <w:div w:id="845634393">
      <w:bodyDiv w:val="1"/>
      <w:marLeft w:val="0"/>
      <w:marRight w:val="0"/>
      <w:marTop w:val="0"/>
      <w:marBottom w:val="0"/>
      <w:divBdr>
        <w:top w:val="none" w:sz="0" w:space="0" w:color="auto"/>
        <w:left w:val="none" w:sz="0" w:space="0" w:color="auto"/>
        <w:bottom w:val="none" w:sz="0" w:space="0" w:color="auto"/>
        <w:right w:val="none" w:sz="0" w:space="0" w:color="auto"/>
      </w:divBdr>
    </w:div>
    <w:div w:id="996541695">
      <w:bodyDiv w:val="1"/>
      <w:marLeft w:val="0"/>
      <w:marRight w:val="0"/>
      <w:marTop w:val="0"/>
      <w:marBottom w:val="0"/>
      <w:divBdr>
        <w:top w:val="none" w:sz="0" w:space="0" w:color="auto"/>
        <w:left w:val="none" w:sz="0" w:space="0" w:color="auto"/>
        <w:bottom w:val="none" w:sz="0" w:space="0" w:color="auto"/>
        <w:right w:val="none" w:sz="0" w:space="0" w:color="auto"/>
      </w:divBdr>
    </w:div>
    <w:div w:id="1463308966">
      <w:bodyDiv w:val="1"/>
      <w:marLeft w:val="0"/>
      <w:marRight w:val="0"/>
      <w:marTop w:val="0"/>
      <w:marBottom w:val="0"/>
      <w:divBdr>
        <w:top w:val="none" w:sz="0" w:space="0" w:color="auto"/>
        <w:left w:val="none" w:sz="0" w:space="0" w:color="auto"/>
        <w:bottom w:val="none" w:sz="0" w:space="0" w:color="auto"/>
        <w:right w:val="none" w:sz="0" w:space="0" w:color="auto"/>
      </w:divBdr>
    </w:div>
    <w:div w:id="1870994941">
      <w:bodyDiv w:val="1"/>
      <w:marLeft w:val="0"/>
      <w:marRight w:val="0"/>
      <w:marTop w:val="0"/>
      <w:marBottom w:val="0"/>
      <w:divBdr>
        <w:top w:val="none" w:sz="0" w:space="0" w:color="auto"/>
        <w:left w:val="none" w:sz="0" w:space="0" w:color="auto"/>
        <w:bottom w:val="none" w:sz="0" w:space="0" w:color="auto"/>
        <w:right w:val="none" w:sz="0" w:space="0" w:color="auto"/>
      </w:divBdr>
    </w:div>
    <w:div w:id="1930234630">
      <w:bodyDiv w:val="1"/>
      <w:marLeft w:val="0"/>
      <w:marRight w:val="0"/>
      <w:marTop w:val="0"/>
      <w:marBottom w:val="0"/>
      <w:divBdr>
        <w:top w:val="none" w:sz="0" w:space="0" w:color="auto"/>
        <w:left w:val="none" w:sz="0" w:space="0" w:color="auto"/>
        <w:bottom w:val="none" w:sz="0" w:space="0" w:color="auto"/>
        <w:right w:val="none" w:sz="0" w:space="0" w:color="auto"/>
      </w:divBdr>
    </w:div>
    <w:div w:id="202840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1" Type="http://schemas.openxmlformats.org/officeDocument/2006/relationships/hyperlink" Target="https://www.england.nhs.uk/wp-content/uploads/2021/01/integrating-care-next-steps-to-building-strong-and-effective-integrated-care-systems.pdf" TargetMode="External"/><Relationship Id="rId12" Type="http://schemas.openxmlformats.org/officeDocument/2006/relationships/hyperlink" Target="http://data.parliament.uk/writtenevidence/committeeevidence.svc/evidencedocument/health-and-social-care-committee/nhs-longterm-plan-legislative-proposals/written/97675.html" TargetMode="External"/><Relationship Id="rId13" Type="http://schemas.openxmlformats.org/officeDocument/2006/relationships/hyperlink" Target="https://improvement.nhs.uk/documents/6779/Developing_the_payment_system_for_2021-22.pdf" TargetMode="External"/><Relationship Id="rId14" Type="http://schemas.openxmlformats.org/officeDocument/2006/relationships/hyperlink" Target="https://www.longtermplan.nhs.uk/wp-content/uploads/2019/05/Interim-NHS-People-Plan_June2019.pdf" TargetMode="External"/><Relationship Id="rId15" Type="http://schemas.openxmlformats.org/officeDocument/2006/relationships/hyperlink" Target="https://www.england.nhs.uk/wp-content/uploads/2014/10/5yfv-web.pdf" TargetMode="External"/><Relationship Id="rId16" Type="http://schemas.openxmlformats.org/officeDocument/2006/relationships/hyperlink" Target="https://www.longtermplan.nhs.uk/wp-content/uploads/2019/08/nhs-long-term-plan-version-1.2.pdf" TargetMode="External"/><Relationship Id="rId1" Type="http://schemas.openxmlformats.org/officeDocument/2006/relationships/hyperlink" Target="https://www.longtermplan.nhs.uk/wp-content/uploads/2019/02/nhs-legislation-engagement-document.pdf" TargetMode="External"/><Relationship Id="rId2" Type="http://schemas.openxmlformats.org/officeDocument/2006/relationships/hyperlink" Target="https://www.local.gov.uk/parliament/briefings-and-responses/integrating-care-next-steps-building-strong-and-effective" TargetMode="External"/><Relationship Id="rId3" Type="http://schemas.openxmlformats.org/officeDocument/2006/relationships/hyperlink" Target="https://www.health.org.uk/publications/reports/the-marmot-review-10-years-on" TargetMode="External"/><Relationship Id="rId4" Type="http://schemas.openxmlformats.org/officeDocument/2006/relationships/hyperlink" Target="https://www.health.org.uk/publications/build-back-fairer-the-covid-19-marmot-review" TargetMode="External"/><Relationship Id="rId5" Type="http://schemas.openxmlformats.org/officeDocument/2006/relationships/hyperlink" Target="https://www.hsj.co.uk/policy-and-regulation/government-to-take-joint-role-in-appointing-nhs-chairs-and-ceos/7029728.article" TargetMode="External"/><Relationship Id="rId6" Type="http://schemas.openxmlformats.org/officeDocument/2006/relationships/hyperlink" Target="https://www.kingsfund.org.uk/publications/health-social-care-white-paper-explained" TargetMode="External"/><Relationship Id="rId7" Type="http://schemas.openxmlformats.org/officeDocument/2006/relationships/hyperlink" Target="https://www.kingsfund.org.uk/projects/positions/nhs-funding?gclid=Cj0KCQjwutaCBhDfARIsAJHWnHt4EYj3kooNqwJI_TIdP046xT4GZ3NYthfItGdjqL-OwjeGvk2TEIYaAmctEALw_wcB%20%20%20%20%20Kings%20Fund.%20'NHS%20Funding:%20our%20position'.%20February%202021" TargetMode="External"/><Relationship Id="rId8" Type="http://schemas.openxmlformats.org/officeDocument/2006/relationships/hyperlink" Target="https://www.nuffieldtrust.org.uk/files/2019-01/nutj6871-age-uk-care-190130-web.pdf" TargetMode="External"/><Relationship Id="rId9" Type="http://schemas.openxmlformats.org/officeDocument/2006/relationships/hyperlink" Target="https://www.england.nhs.uk/integratedcare/phm/" TargetMode="External"/><Relationship Id="rId10" Type="http://schemas.openxmlformats.org/officeDocument/2006/relationships/hyperlink" Target="https://www.jstor.org/stable/45276644?read-now=1&amp;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2652</Words>
  <Characters>14432</Characters>
  <Application>Microsoft Macintosh Word</Application>
  <DocSecurity>0</DocSecurity>
  <Lines>277</Lines>
  <Paragraphs>78</Paragraphs>
  <ScaleCrop>false</ScaleCrop>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5</cp:revision>
  <dcterms:created xsi:type="dcterms:W3CDTF">2021-03-22T19:35:00Z</dcterms:created>
  <dcterms:modified xsi:type="dcterms:W3CDTF">2021-03-22T19:56:00Z</dcterms:modified>
</cp:coreProperties>
</file>