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2CDC" w14:textId="77777777" w:rsidR="00454AC2" w:rsidRPr="00D96F57" w:rsidRDefault="00454AC2" w:rsidP="00454AC2">
      <w:pPr>
        <w:spacing w:after="160" w:line="259" w:lineRule="auto"/>
        <w:rPr>
          <w:rFonts w:eastAsiaTheme="minorHAnsi"/>
          <w:b/>
          <w:sz w:val="24"/>
          <w:szCs w:val="24"/>
          <w:lang w:eastAsia="en-US"/>
        </w:rPr>
      </w:pPr>
      <w:r>
        <w:rPr>
          <w:rFonts w:eastAsiaTheme="minorHAnsi"/>
          <w:b/>
          <w:sz w:val="24"/>
          <w:szCs w:val="24"/>
          <w:lang w:eastAsia="en-US"/>
        </w:rPr>
        <w:t>https://</w:t>
      </w:r>
      <w:r w:rsidRPr="00EE48F7">
        <w:rPr>
          <w:rFonts w:eastAsiaTheme="minorHAnsi"/>
          <w:b/>
          <w:sz w:val="24"/>
          <w:szCs w:val="24"/>
          <w:lang w:eastAsia="en-US"/>
        </w:rPr>
        <w:t>publications.parliament.uk/pa/cm5802/cmpublic/HealthCare/memo/HCB26.htm</w:t>
      </w:r>
    </w:p>
    <w:p w14:paraId="51AEC0EC" w14:textId="32D1433A" w:rsidR="00D400C5" w:rsidRPr="00D96F57" w:rsidRDefault="00D400C5" w:rsidP="00D400C5">
      <w:pPr>
        <w:spacing w:after="160" w:line="259" w:lineRule="auto"/>
        <w:rPr>
          <w:rFonts w:eastAsiaTheme="minorHAnsi"/>
          <w:color w:val="3366FF"/>
          <w:sz w:val="24"/>
          <w:szCs w:val="24"/>
          <w:lang w:eastAsia="en-US"/>
        </w:rPr>
      </w:pPr>
      <w:r w:rsidRPr="00454AC2">
        <w:rPr>
          <w:rFonts w:eastAsiaTheme="minorHAnsi"/>
          <w:b/>
          <w:bCs/>
          <w:sz w:val="32"/>
          <w:szCs w:val="32"/>
          <w:lang w:eastAsia="en-US"/>
        </w:rPr>
        <w:t xml:space="preserve">Written evidence </w:t>
      </w:r>
      <w:r w:rsidR="00F37D82" w:rsidRPr="00454AC2">
        <w:rPr>
          <w:rFonts w:eastAsiaTheme="minorHAnsi"/>
          <w:b/>
          <w:bCs/>
          <w:sz w:val="32"/>
          <w:szCs w:val="32"/>
          <w:lang w:eastAsia="en-US"/>
        </w:rPr>
        <w:t xml:space="preserve">opposing the Health and Care Bill, </w:t>
      </w:r>
      <w:r w:rsidRPr="00454AC2">
        <w:rPr>
          <w:rFonts w:eastAsiaTheme="minorHAnsi"/>
          <w:b/>
          <w:bCs/>
          <w:sz w:val="32"/>
          <w:szCs w:val="32"/>
          <w:lang w:eastAsia="en-US"/>
        </w:rPr>
        <w:t>submitted</w:t>
      </w:r>
      <w:r w:rsidR="00EF0AEC" w:rsidRPr="00454AC2">
        <w:rPr>
          <w:rFonts w:eastAsiaTheme="minorHAnsi"/>
          <w:b/>
          <w:bCs/>
          <w:sz w:val="32"/>
          <w:szCs w:val="32"/>
          <w:lang w:eastAsia="en-US"/>
        </w:rPr>
        <w:t xml:space="preserve"> to the Public Bill Committee</w:t>
      </w:r>
      <w:r w:rsidRPr="00454AC2">
        <w:rPr>
          <w:rFonts w:eastAsiaTheme="minorHAnsi"/>
          <w:b/>
          <w:bCs/>
          <w:sz w:val="32"/>
          <w:szCs w:val="32"/>
          <w:lang w:eastAsia="en-US"/>
        </w:rPr>
        <w:t xml:space="preserve"> by </w:t>
      </w:r>
      <w:r w:rsidR="003D3263" w:rsidRPr="00454AC2">
        <w:rPr>
          <w:rFonts w:eastAsiaTheme="minorHAnsi"/>
          <w:b/>
          <w:bCs/>
          <w:sz w:val="32"/>
          <w:szCs w:val="32"/>
          <w:lang w:eastAsia="en-US"/>
        </w:rPr>
        <w:t xml:space="preserve">John </w:t>
      </w:r>
      <w:proofErr w:type="spellStart"/>
      <w:r w:rsidR="003D3263" w:rsidRPr="00454AC2">
        <w:rPr>
          <w:rFonts w:eastAsiaTheme="minorHAnsi"/>
          <w:b/>
          <w:bCs/>
          <w:sz w:val="32"/>
          <w:szCs w:val="32"/>
          <w:lang w:eastAsia="en-US"/>
        </w:rPr>
        <w:t>Puntis</w:t>
      </w:r>
      <w:proofErr w:type="spellEnd"/>
      <w:r w:rsidR="003D3263" w:rsidRPr="00454AC2">
        <w:rPr>
          <w:rFonts w:eastAsiaTheme="minorHAnsi"/>
          <w:b/>
          <w:bCs/>
          <w:sz w:val="32"/>
          <w:szCs w:val="32"/>
          <w:lang w:eastAsia="en-US"/>
        </w:rPr>
        <w:t xml:space="preserve"> co-chair of </w:t>
      </w:r>
      <w:r w:rsidRPr="00454AC2">
        <w:rPr>
          <w:rFonts w:eastAsiaTheme="minorHAnsi"/>
          <w:b/>
          <w:bCs/>
          <w:sz w:val="32"/>
          <w:szCs w:val="32"/>
          <w:lang w:eastAsia="en-US"/>
        </w:rPr>
        <w:t>Keep Our NHS Public</w:t>
      </w:r>
      <w:r w:rsidRPr="00D96F57">
        <w:rPr>
          <w:rFonts w:eastAsiaTheme="minorHAnsi"/>
          <w:sz w:val="24"/>
          <w:szCs w:val="24"/>
          <w:lang w:eastAsia="en-US"/>
        </w:rPr>
        <w:t xml:space="preserve">, a </w:t>
      </w:r>
      <w:r w:rsidR="00B854E9" w:rsidRPr="00D96F57">
        <w:rPr>
          <w:rFonts w:eastAsiaTheme="minorHAnsi"/>
          <w:sz w:val="24"/>
          <w:szCs w:val="24"/>
          <w:lang w:eastAsia="en-US"/>
        </w:rPr>
        <w:t>n</w:t>
      </w:r>
      <w:r w:rsidRPr="00D96F57">
        <w:rPr>
          <w:rFonts w:eastAsiaTheme="minorHAnsi"/>
          <w:sz w:val="24"/>
          <w:szCs w:val="24"/>
          <w:lang w:eastAsia="en-US"/>
        </w:rPr>
        <w:t xml:space="preserve">ational </w:t>
      </w:r>
      <w:r w:rsidR="00B854E9" w:rsidRPr="00D96F57">
        <w:rPr>
          <w:rFonts w:eastAsiaTheme="minorHAnsi"/>
          <w:sz w:val="24"/>
          <w:szCs w:val="24"/>
          <w:lang w:eastAsia="en-US"/>
        </w:rPr>
        <w:t>c</w:t>
      </w:r>
      <w:r w:rsidRPr="00D96F57">
        <w:rPr>
          <w:rFonts w:eastAsiaTheme="minorHAnsi"/>
          <w:sz w:val="24"/>
          <w:szCs w:val="24"/>
          <w:lang w:eastAsia="en-US"/>
        </w:rPr>
        <w:t xml:space="preserve">ampaigning </w:t>
      </w:r>
      <w:r w:rsidR="00B854E9" w:rsidRPr="00D96F57">
        <w:rPr>
          <w:rFonts w:eastAsiaTheme="minorHAnsi"/>
          <w:sz w:val="24"/>
          <w:szCs w:val="24"/>
          <w:lang w:eastAsia="en-US"/>
        </w:rPr>
        <w:t>o</w:t>
      </w:r>
      <w:r w:rsidRPr="00D96F57">
        <w:rPr>
          <w:rFonts w:eastAsiaTheme="minorHAnsi"/>
          <w:sz w:val="24"/>
          <w:szCs w:val="24"/>
          <w:lang w:eastAsia="en-US"/>
        </w:rPr>
        <w:t xml:space="preserve">rganisation seeking to maintain a publicly funded and provided universal healthcare system across the UK. </w:t>
      </w:r>
    </w:p>
    <w:p w14:paraId="0A7AABEE" w14:textId="77777777" w:rsidR="00D400C5" w:rsidRPr="00D96F57" w:rsidRDefault="00D400C5" w:rsidP="00D400C5">
      <w:pPr>
        <w:spacing w:after="160" w:line="259" w:lineRule="auto"/>
        <w:rPr>
          <w:rFonts w:eastAsiaTheme="minorHAnsi"/>
          <w:b/>
          <w:sz w:val="24"/>
          <w:szCs w:val="24"/>
          <w:lang w:eastAsia="en-US"/>
        </w:rPr>
      </w:pPr>
      <w:r w:rsidRPr="00D96F57">
        <w:rPr>
          <w:rFonts w:eastAsiaTheme="minorHAnsi"/>
          <w:b/>
          <w:sz w:val="24"/>
          <w:szCs w:val="24"/>
          <w:lang w:eastAsia="en-US"/>
        </w:rPr>
        <w:t>Executive Summary</w:t>
      </w:r>
    </w:p>
    <w:p w14:paraId="1F228568" w14:textId="77777777" w:rsidR="00D400C5" w:rsidRPr="00D96F57" w:rsidRDefault="00D400C5" w:rsidP="00D400C5">
      <w:pPr>
        <w:spacing w:after="160" w:line="259" w:lineRule="auto"/>
        <w:rPr>
          <w:rFonts w:eastAsiaTheme="minorHAnsi"/>
          <w:sz w:val="24"/>
          <w:szCs w:val="24"/>
          <w:lang w:eastAsia="en-US"/>
        </w:rPr>
      </w:pPr>
      <w:r w:rsidRPr="00D96F57">
        <w:rPr>
          <w:rFonts w:eastAsiaTheme="minorHAnsi"/>
          <w:sz w:val="24"/>
          <w:szCs w:val="24"/>
          <w:lang w:eastAsia="en-US"/>
        </w:rPr>
        <w:t>This Bill will</w:t>
      </w:r>
      <w:r w:rsidR="00B854E9" w:rsidRPr="00D96F57">
        <w:rPr>
          <w:rFonts w:eastAsiaTheme="minorHAnsi"/>
          <w:sz w:val="24"/>
          <w:szCs w:val="24"/>
          <w:lang w:eastAsia="en-US"/>
        </w:rPr>
        <w:t xml:space="preserve"> be highly damaging to the NHS as a national health service based on social solidarity. It will:</w:t>
      </w:r>
    </w:p>
    <w:p w14:paraId="0A64A640" w14:textId="77777777" w:rsidR="00D400C5" w:rsidRPr="00D96F57" w:rsidRDefault="00D400C5" w:rsidP="00D400C5">
      <w:pPr>
        <w:numPr>
          <w:ilvl w:val="0"/>
          <w:numId w:val="1"/>
        </w:numPr>
        <w:spacing w:after="160" w:line="259" w:lineRule="auto"/>
        <w:contextualSpacing/>
        <w:rPr>
          <w:rFonts w:eastAsiaTheme="minorHAnsi"/>
          <w:sz w:val="24"/>
          <w:szCs w:val="24"/>
          <w:lang w:eastAsia="en-US"/>
        </w:rPr>
      </w:pPr>
      <w:r w:rsidRPr="00D96F57">
        <w:rPr>
          <w:rFonts w:eastAsiaTheme="minorHAnsi"/>
          <w:sz w:val="24"/>
          <w:szCs w:val="24"/>
          <w:lang w:eastAsia="en-US"/>
        </w:rPr>
        <w:t xml:space="preserve">fragment the NHS into 42 Integrated Care Systems (ICSs or ‘systems’) each containing an Integrated Care Board (ICB)  (‘body corporate’) and associated ‘Partners’ and, by funding each system separately with its own Whole Population Annual </w:t>
      </w:r>
      <w:r w:rsidR="00B854E9" w:rsidRPr="00D96F57">
        <w:rPr>
          <w:rFonts w:eastAsiaTheme="minorHAnsi"/>
          <w:sz w:val="24"/>
          <w:szCs w:val="24"/>
          <w:lang w:eastAsia="en-US"/>
        </w:rPr>
        <w:t>Payment</w:t>
      </w:r>
      <w:r w:rsidRPr="00D96F57">
        <w:rPr>
          <w:rFonts w:eastAsiaTheme="minorHAnsi"/>
          <w:sz w:val="24"/>
          <w:szCs w:val="24"/>
          <w:lang w:eastAsia="en-US"/>
        </w:rPr>
        <w:t xml:space="preserve"> (WPAP)</w:t>
      </w:r>
      <w:r w:rsidRPr="00D96F57">
        <w:rPr>
          <w:rFonts w:eastAsiaTheme="minorHAnsi"/>
          <w:sz w:val="24"/>
          <w:szCs w:val="24"/>
          <w:vertAlign w:val="superscript"/>
          <w:lang w:eastAsia="en-US"/>
        </w:rPr>
        <w:footnoteReference w:id="1"/>
      </w:r>
      <w:r w:rsidRPr="00D96F57">
        <w:rPr>
          <w:rFonts w:eastAsiaTheme="minorHAnsi"/>
          <w:sz w:val="24"/>
          <w:szCs w:val="24"/>
          <w:lang w:eastAsia="en-US"/>
        </w:rPr>
        <w:t>, remov</w:t>
      </w:r>
      <w:r w:rsidR="005C49E2" w:rsidRPr="00D96F57">
        <w:rPr>
          <w:rFonts w:eastAsiaTheme="minorHAnsi"/>
          <w:color w:val="1A1A1A" w:themeColor="background1" w:themeShade="1A"/>
          <w:sz w:val="24"/>
          <w:szCs w:val="24"/>
          <w:lang w:eastAsia="en-US"/>
        </w:rPr>
        <w:t>e</w:t>
      </w:r>
      <w:r w:rsidRPr="00D96F57">
        <w:rPr>
          <w:rFonts w:eastAsiaTheme="minorHAnsi"/>
          <w:sz w:val="24"/>
          <w:szCs w:val="24"/>
          <w:lang w:eastAsia="en-US"/>
        </w:rPr>
        <w:t xml:space="preserve"> universal pooling of risk to the detriment of the poorest in society;</w:t>
      </w:r>
    </w:p>
    <w:p w14:paraId="524A92F5" w14:textId="77777777" w:rsidR="00D400C5" w:rsidRPr="00D96F57" w:rsidRDefault="00D400C5" w:rsidP="00D400C5">
      <w:pPr>
        <w:numPr>
          <w:ilvl w:val="0"/>
          <w:numId w:val="1"/>
        </w:numPr>
        <w:spacing w:after="160" w:line="259" w:lineRule="auto"/>
        <w:contextualSpacing/>
        <w:rPr>
          <w:rFonts w:eastAsiaTheme="minorHAnsi"/>
          <w:sz w:val="24"/>
          <w:szCs w:val="24"/>
          <w:lang w:eastAsia="en-US"/>
        </w:rPr>
      </w:pPr>
      <w:r w:rsidRPr="00D96F57">
        <w:rPr>
          <w:rFonts w:eastAsiaTheme="minorHAnsi"/>
          <w:sz w:val="24"/>
          <w:szCs w:val="24"/>
          <w:lang w:eastAsia="en-US"/>
        </w:rPr>
        <w:t xml:space="preserve">enable the deregulation of procurement and so increase the potential for abuse in the giving of contracts, and in the reduction of social and </w:t>
      </w:r>
      <w:r w:rsidRPr="00D96F57">
        <w:rPr>
          <w:rFonts w:eastAsiaTheme="minorHAnsi"/>
          <w:color w:val="1A1A1A" w:themeColor="background1" w:themeShade="1A"/>
          <w:sz w:val="24"/>
          <w:szCs w:val="24"/>
          <w:lang w:eastAsia="en-US"/>
        </w:rPr>
        <w:t>environmental protections and</w:t>
      </w:r>
      <w:r w:rsidRPr="00D96F57">
        <w:rPr>
          <w:rFonts w:eastAsiaTheme="minorHAnsi"/>
          <w:color w:val="3366FF"/>
          <w:sz w:val="24"/>
          <w:szCs w:val="24"/>
          <w:lang w:eastAsia="en-US"/>
        </w:rPr>
        <w:t xml:space="preserve"> </w:t>
      </w:r>
      <w:r w:rsidRPr="00D96F57">
        <w:rPr>
          <w:rFonts w:eastAsiaTheme="minorHAnsi"/>
          <w:sz w:val="24"/>
          <w:szCs w:val="24"/>
          <w:lang w:eastAsia="en-US"/>
        </w:rPr>
        <w:t xml:space="preserve">rights for workers; </w:t>
      </w:r>
    </w:p>
    <w:p w14:paraId="11F49334" w14:textId="77777777" w:rsidR="00D400C5" w:rsidRPr="00D96F57" w:rsidRDefault="00D400C5" w:rsidP="00D400C5">
      <w:pPr>
        <w:numPr>
          <w:ilvl w:val="0"/>
          <w:numId w:val="1"/>
        </w:numPr>
        <w:spacing w:after="160" w:line="259" w:lineRule="auto"/>
        <w:contextualSpacing/>
        <w:rPr>
          <w:rFonts w:eastAsiaTheme="minorHAnsi"/>
          <w:sz w:val="24"/>
          <w:szCs w:val="24"/>
          <w:lang w:eastAsia="en-US"/>
        </w:rPr>
      </w:pPr>
      <w:r w:rsidRPr="00D96F57">
        <w:rPr>
          <w:rFonts w:eastAsiaTheme="minorHAnsi"/>
          <w:sz w:val="24"/>
          <w:szCs w:val="24"/>
          <w:lang w:eastAsia="en-US"/>
        </w:rPr>
        <w:t>introduce new concepts of ‘core’ and ‘key’ services to the systems -</w:t>
      </w:r>
      <w:r w:rsidR="002000EF" w:rsidRPr="00D96F57">
        <w:rPr>
          <w:rFonts w:eastAsiaTheme="minorHAnsi"/>
          <w:sz w:val="24"/>
          <w:szCs w:val="24"/>
          <w:lang w:eastAsia="en-US"/>
        </w:rPr>
        <w:t xml:space="preserve"> </w:t>
      </w:r>
      <w:r w:rsidRPr="00D96F57">
        <w:rPr>
          <w:rFonts w:eastAsiaTheme="minorHAnsi"/>
          <w:sz w:val="24"/>
          <w:szCs w:val="24"/>
          <w:lang w:eastAsia="en-US"/>
        </w:rPr>
        <w:t xml:space="preserve">the reason for this terminology, similar to that used by US Health Maintenance Organisations, is unclear; </w:t>
      </w:r>
    </w:p>
    <w:p w14:paraId="6EBFEF54" w14:textId="77777777" w:rsidR="00D400C5" w:rsidRPr="00D96F57" w:rsidRDefault="00D400C5" w:rsidP="00D400C5">
      <w:pPr>
        <w:numPr>
          <w:ilvl w:val="0"/>
          <w:numId w:val="1"/>
        </w:numPr>
        <w:spacing w:after="160" w:line="259" w:lineRule="auto"/>
        <w:contextualSpacing/>
        <w:rPr>
          <w:rFonts w:eastAsiaTheme="minorHAnsi"/>
          <w:sz w:val="24"/>
          <w:szCs w:val="24"/>
          <w:lang w:eastAsia="en-US"/>
        </w:rPr>
      </w:pPr>
      <w:r w:rsidRPr="00D96F57">
        <w:rPr>
          <w:rFonts w:eastAsiaTheme="minorHAnsi"/>
          <w:sz w:val="24"/>
          <w:szCs w:val="24"/>
          <w:lang w:eastAsia="en-US"/>
        </w:rPr>
        <w:t>remove the duty for the systems to provide secondary medical services and</w:t>
      </w:r>
      <w:r w:rsidR="006B38ED" w:rsidRPr="00D96F57">
        <w:rPr>
          <w:rFonts w:eastAsiaTheme="minorHAnsi"/>
          <w:sz w:val="24"/>
          <w:szCs w:val="24"/>
          <w:lang w:eastAsia="en-US"/>
        </w:rPr>
        <w:t xml:space="preserve"> then,</w:t>
      </w:r>
      <w:r w:rsidRPr="00D96F57">
        <w:rPr>
          <w:rFonts w:eastAsiaTheme="minorHAnsi"/>
          <w:sz w:val="24"/>
          <w:szCs w:val="24"/>
          <w:lang w:eastAsia="en-US"/>
        </w:rPr>
        <w:t xml:space="preserve"> </w:t>
      </w:r>
      <w:r w:rsidR="007C4439" w:rsidRPr="00D96F57">
        <w:rPr>
          <w:rFonts w:eastAsiaTheme="minorHAnsi"/>
          <w:sz w:val="24"/>
          <w:szCs w:val="24"/>
          <w:lang w:eastAsia="en-US"/>
        </w:rPr>
        <w:t>pushed</w:t>
      </w:r>
      <w:r w:rsidRPr="00D96F57">
        <w:rPr>
          <w:rFonts w:eastAsiaTheme="minorHAnsi"/>
          <w:sz w:val="24"/>
          <w:szCs w:val="24"/>
          <w:lang w:eastAsia="en-US"/>
        </w:rPr>
        <w:t xml:space="preserve"> by imposed funding limits, the systems </w:t>
      </w:r>
      <w:r w:rsidR="00B84193" w:rsidRPr="00D96F57">
        <w:rPr>
          <w:rFonts w:eastAsiaTheme="minorHAnsi"/>
          <w:sz w:val="24"/>
          <w:szCs w:val="24"/>
          <w:lang w:eastAsia="en-US"/>
        </w:rPr>
        <w:t>can</w:t>
      </w:r>
      <w:r w:rsidRPr="00D96F57">
        <w:rPr>
          <w:rFonts w:eastAsiaTheme="minorHAnsi"/>
          <w:sz w:val="24"/>
          <w:szCs w:val="24"/>
          <w:lang w:eastAsia="en-US"/>
        </w:rPr>
        <w:t xml:space="preserve"> attempt to contain costs by </w:t>
      </w:r>
      <w:r w:rsidR="00FA281C" w:rsidRPr="00D96F57">
        <w:rPr>
          <w:rFonts w:eastAsiaTheme="minorHAnsi"/>
          <w:sz w:val="24"/>
          <w:szCs w:val="24"/>
          <w:lang w:eastAsia="en-US"/>
        </w:rPr>
        <w:t xml:space="preserve">developing ‘new </w:t>
      </w:r>
      <w:r w:rsidR="00E64DF8" w:rsidRPr="00D96F57">
        <w:rPr>
          <w:rFonts w:eastAsiaTheme="minorHAnsi"/>
          <w:sz w:val="24"/>
          <w:szCs w:val="24"/>
          <w:lang w:eastAsia="en-US"/>
        </w:rPr>
        <w:t xml:space="preserve">models of care’ </w:t>
      </w:r>
      <w:r w:rsidR="0017405B" w:rsidRPr="00D96F57">
        <w:rPr>
          <w:rFonts w:eastAsiaTheme="minorHAnsi"/>
          <w:sz w:val="24"/>
          <w:szCs w:val="24"/>
          <w:lang w:eastAsia="en-US"/>
        </w:rPr>
        <w:t xml:space="preserve">to </w:t>
      </w:r>
      <w:r w:rsidR="003C36A6" w:rsidRPr="00D96F57">
        <w:rPr>
          <w:rFonts w:eastAsiaTheme="minorHAnsi"/>
          <w:sz w:val="24"/>
          <w:szCs w:val="24"/>
          <w:lang w:eastAsia="en-US"/>
        </w:rPr>
        <w:t>replace</w:t>
      </w:r>
      <w:r w:rsidR="0017405B" w:rsidRPr="00D96F57">
        <w:rPr>
          <w:rFonts w:eastAsiaTheme="minorHAnsi"/>
          <w:sz w:val="24"/>
          <w:szCs w:val="24"/>
          <w:lang w:eastAsia="en-US"/>
        </w:rPr>
        <w:t xml:space="preserve"> </w:t>
      </w:r>
      <w:r w:rsidR="00F645E7" w:rsidRPr="00D96F57">
        <w:rPr>
          <w:rFonts w:eastAsiaTheme="minorHAnsi"/>
          <w:sz w:val="24"/>
          <w:szCs w:val="24"/>
          <w:lang w:eastAsia="en-US"/>
        </w:rPr>
        <w:t xml:space="preserve">the need for </w:t>
      </w:r>
      <w:r w:rsidR="004616A4" w:rsidRPr="00D96F57">
        <w:rPr>
          <w:rFonts w:eastAsiaTheme="minorHAnsi"/>
          <w:sz w:val="24"/>
          <w:szCs w:val="24"/>
          <w:lang w:eastAsia="en-US"/>
        </w:rPr>
        <w:t xml:space="preserve">secondary care </w:t>
      </w:r>
      <w:r w:rsidR="00F645E7" w:rsidRPr="00D96F57">
        <w:rPr>
          <w:rFonts w:eastAsiaTheme="minorHAnsi"/>
          <w:sz w:val="24"/>
          <w:szCs w:val="24"/>
          <w:lang w:eastAsia="en-US"/>
        </w:rPr>
        <w:t xml:space="preserve">referral, </w:t>
      </w:r>
      <w:r w:rsidR="00E64DF8" w:rsidRPr="00D96F57">
        <w:rPr>
          <w:rFonts w:eastAsiaTheme="minorHAnsi"/>
          <w:sz w:val="24"/>
          <w:szCs w:val="24"/>
          <w:lang w:eastAsia="en-US"/>
        </w:rPr>
        <w:t xml:space="preserve">and </w:t>
      </w:r>
      <w:r w:rsidRPr="00D96F57">
        <w:rPr>
          <w:rFonts w:eastAsiaTheme="minorHAnsi"/>
          <w:sz w:val="24"/>
          <w:szCs w:val="24"/>
          <w:lang w:eastAsia="en-US"/>
        </w:rPr>
        <w:t xml:space="preserve">ration or deny </w:t>
      </w:r>
      <w:r w:rsidR="00182A39" w:rsidRPr="00D96F57">
        <w:rPr>
          <w:rFonts w:eastAsiaTheme="minorHAnsi"/>
          <w:sz w:val="24"/>
          <w:szCs w:val="24"/>
          <w:lang w:eastAsia="en-US"/>
        </w:rPr>
        <w:t xml:space="preserve">other </w:t>
      </w:r>
      <w:r w:rsidRPr="00D96F57">
        <w:rPr>
          <w:rFonts w:eastAsiaTheme="minorHAnsi"/>
          <w:sz w:val="24"/>
          <w:szCs w:val="24"/>
          <w:lang w:eastAsia="en-US"/>
        </w:rPr>
        <w:t xml:space="preserve">specific types of </w:t>
      </w:r>
      <w:r w:rsidR="00A01C64" w:rsidRPr="00D96F57">
        <w:rPr>
          <w:rFonts w:eastAsiaTheme="minorHAnsi"/>
          <w:sz w:val="24"/>
          <w:szCs w:val="24"/>
          <w:lang w:eastAsia="en-US"/>
        </w:rPr>
        <w:t xml:space="preserve">secondary elective </w:t>
      </w:r>
      <w:r w:rsidRPr="00D96F57">
        <w:rPr>
          <w:rFonts w:eastAsiaTheme="minorHAnsi"/>
          <w:sz w:val="24"/>
          <w:szCs w:val="24"/>
          <w:lang w:eastAsia="en-US"/>
        </w:rPr>
        <w:t>care</w:t>
      </w:r>
      <w:r w:rsidR="00BA2EAD" w:rsidRPr="00D96F57">
        <w:rPr>
          <w:rStyle w:val="FootnoteReference"/>
          <w:rFonts w:eastAsiaTheme="minorHAnsi"/>
          <w:sz w:val="24"/>
          <w:szCs w:val="24"/>
          <w:lang w:eastAsia="en-US"/>
        </w:rPr>
        <w:footnoteReference w:id="2"/>
      </w:r>
      <w:r w:rsidR="003D4DE1" w:rsidRPr="00D96F57">
        <w:rPr>
          <w:rFonts w:eastAsiaTheme="minorHAnsi"/>
          <w:sz w:val="24"/>
          <w:szCs w:val="24"/>
          <w:lang w:eastAsia="en-US"/>
        </w:rPr>
        <w:t>,</w:t>
      </w:r>
      <w:r w:rsidR="00E65301" w:rsidRPr="00D96F57">
        <w:rPr>
          <w:rStyle w:val="FootnoteReference"/>
          <w:rFonts w:eastAsiaTheme="minorHAnsi"/>
          <w:sz w:val="24"/>
          <w:szCs w:val="24"/>
          <w:lang w:eastAsia="en-US"/>
        </w:rPr>
        <w:footnoteReference w:id="3"/>
      </w:r>
      <w:r w:rsidR="00F645E7" w:rsidRPr="00D96F57">
        <w:rPr>
          <w:rFonts w:eastAsiaTheme="minorHAnsi"/>
          <w:sz w:val="24"/>
          <w:szCs w:val="24"/>
          <w:lang w:eastAsia="en-US"/>
        </w:rPr>
        <w:t xml:space="preserve"> </w:t>
      </w:r>
      <w:r w:rsidRPr="00D96F57">
        <w:rPr>
          <w:rFonts w:eastAsiaTheme="minorHAnsi"/>
          <w:sz w:val="24"/>
          <w:szCs w:val="24"/>
          <w:lang w:eastAsia="en-US"/>
        </w:rPr>
        <w:t xml:space="preserve">deemed either to be unnecessary or of lesser ‘value’, forcing people to pay for </w:t>
      </w:r>
      <w:r w:rsidR="00A01C64" w:rsidRPr="00D96F57">
        <w:rPr>
          <w:rFonts w:eastAsiaTheme="minorHAnsi"/>
          <w:sz w:val="24"/>
          <w:szCs w:val="24"/>
          <w:lang w:eastAsia="en-US"/>
        </w:rPr>
        <w:t xml:space="preserve">this </w:t>
      </w:r>
      <w:r w:rsidRPr="00D96F57">
        <w:rPr>
          <w:rFonts w:eastAsiaTheme="minorHAnsi"/>
          <w:sz w:val="24"/>
          <w:szCs w:val="24"/>
          <w:lang w:eastAsia="en-US"/>
        </w:rPr>
        <w:t>care and creating a ‘two tier’ service;</w:t>
      </w:r>
    </w:p>
    <w:p w14:paraId="544D679E" w14:textId="77777777" w:rsidR="00D400C5" w:rsidRPr="00D96F57" w:rsidRDefault="00D400C5" w:rsidP="00D400C5">
      <w:pPr>
        <w:numPr>
          <w:ilvl w:val="0"/>
          <w:numId w:val="1"/>
        </w:numPr>
        <w:spacing w:after="160" w:line="259" w:lineRule="auto"/>
        <w:contextualSpacing/>
        <w:rPr>
          <w:rFonts w:eastAsiaTheme="minorHAnsi"/>
          <w:sz w:val="24"/>
          <w:szCs w:val="24"/>
          <w:lang w:eastAsia="en-US"/>
        </w:rPr>
      </w:pPr>
      <w:r w:rsidRPr="00D96F57">
        <w:rPr>
          <w:rFonts w:eastAsiaTheme="minorHAnsi"/>
          <w:sz w:val="24"/>
          <w:szCs w:val="24"/>
          <w:lang w:eastAsia="en-US"/>
        </w:rPr>
        <w:t>develop an infrastructure run by ICBs that, as well as enabling the inclusion of private companies, will reduce the representation and powers of Local Authorities (LAs) while committing them to the strict capitated financial regime, and reduc</w:t>
      </w:r>
      <w:r w:rsidR="000F1BC1" w:rsidRPr="00D96F57">
        <w:rPr>
          <w:rFonts w:eastAsiaTheme="minorHAnsi"/>
          <w:sz w:val="24"/>
          <w:szCs w:val="24"/>
          <w:lang w:eastAsia="en-US"/>
        </w:rPr>
        <w:t>e</w:t>
      </w:r>
      <w:r w:rsidRPr="00D96F57">
        <w:rPr>
          <w:rFonts w:eastAsiaTheme="minorHAnsi"/>
          <w:sz w:val="24"/>
          <w:szCs w:val="24"/>
          <w:lang w:eastAsia="en-US"/>
        </w:rPr>
        <w:t xml:space="preserve"> their power to influence reconfigurations </w:t>
      </w:r>
      <w:r w:rsidR="00422204" w:rsidRPr="00D96F57">
        <w:rPr>
          <w:rFonts w:eastAsiaTheme="minorHAnsi"/>
          <w:sz w:val="24"/>
          <w:szCs w:val="24"/>
          <w:lang w:eastAsia="en-US"/>
        </w:rPr>
        <w:t>of local</w:t>
      </w:r>
      <w:r w:rsidRPr="00D96F57">
        <w:rPr>
          <w:rFonts w:eastAsiaTheme="minorHAnsi"/>
          <w:sz w:val="24"/>
          <w:szCs w:val="24"/>
          <w:lang w:eastAsia="en-US"/>
        </w:rPr>
        <w:t xml:space="preserve"> NHS services;</w:t>
      </w:r>
    </w:p>
    <w:p w14:paraId="388D0D36" w14:textId="77777777" w:rsidR="00D400C5" w:rsidRPr="00D96F57" w:rsidRDefault="00B854E9" w:rsidP="00D400C5">
      <w:pPr>
        <w:numPr>
          <w:ilvl w:val="0"/>
          <w:numId w:val="1"/>
        </w:numPr>
        <w:spacing w:after="160" w:line="259" w:lineRule="auto"/>
        <w:contextualSpacing/>
        <w:rPr>
          <w:rFonts w:eastAsiaTheme="minorHAnsi"/>
          <w:sz w:val="24"/>
          <w:szCs w:val="24"/>
          <w:lang w:eastAsia="en-US"/>
        </w:rPr>
      </w:pPr>
      <w:r w:rsidRPr="00D96F57">
        <w:rPr>
          <w:rFonts w:eastAsiaTheme="minorHAnsi"/>
          <w:sz w:val="24"/>
          <w:szCs w:val="24"/>
          <w:lang w:eastAsia="en-US"/>
        </w:rPr>
        <w:t>increase</w:t>
      </w:r>
      <w:r w:rsidR="00D400C5" w:rsidRPr="00D96F57">
        <w:rPr>
          <w:rFonts w:eastAsiaTheme="minorHAnsi"/>
          <w:sz w:val="24"/>
          <w:szCs w:val="24"/>
          <w:lang w:eastAsia="en-US"/>
        </w:rPr>
        <w:t xml:space="preserve"> the use of digital technology </w:t>
      </w:r>
      <w:r w:rsidRPr="00D96F57">
        <w:rPr>
          <w:rFonts w:eastAsiaTheme="minorHAnsi"/>
          <w:sz w:val="24"/>
          <w:szCs w:val="24"/>
          <w:lang w:eastAsia="en-US"/>
        </w:rPr>
        <w:t xml:space="preserve">in place of clinical judgement while deregulating the professions, </w:t>
      </w:r>
      <w:r w:rsidR="00D400C5" w:rsidRPr="00D96F57">
        <w:rPr>
          <w:rFonts w:eastAsiaTheme="minorHAnsi"/>
          <w:sz w:val="24"/>
          <w:szCs w:val="24"/>
          <w:lang w:eastAsia="en-US"/>
        </w:rPr>
        <w:t xml:space="preserve">to create a workforce which is ‘mobile’, ‘flexible’ and ‘agile’ for the sake of cost efficiency, </w:t>
      </w:r>
      <w:r w:rsidRPr="00D96F57">
        <w:rPr>
          <w:rFonts w:eastAsiaTheme="minorHAnsi"/>
          <w:sz w:val="24"/>
          <w:szCs w:val="24"/>
          <w:lang w:eastAsia="en-US"/>
        </w:rPr>
        <w:t>so</w:t>
      </w:r>
      <w:r w:rsidR="00D400C5" w:rsidRPr="00D96F57">
        <w:rPr>
          <w:rFonts w:eastAsiaTheme="minorHAnsi"/>
          <w:sz w:val="24"/>
          <w:szCs w:val="24"/>
          <w:lang w:eastAsia="en-US"/>
        </w:rPr>
        <w:t xml:space="preserve"> reduc</w:t>
      </w:r>
      <w:r w:rsidRPr="00D96F57">
        <w:rPr>
          <w:rFonts w:eastAsiaTheme="minorHAnsi"/>
          <w:sz w:val="24"/>
          <w:szCs w:val="24"/>
          <w:lang w:eastAsia="en-US"/>
        </w:rPr>
        <w:t>ing the</w:t>
      </w:r>
      <w:r w:rsidR="00D400C5" w:rsidRPr="00D96F57">
        <w:rPr>
          <w:rFonts w:eastAsiaTheme="minorHAnsi"/>
          <w:sz w:val="24"/>
          <w:szCs w:val="24"/>
          <w:lang w:eastAsia="en-US"/>
        </w:rPr>
        <w:t xml:space="preserve"> benefits </w:t>
      </w:r>
      <w:r w:rsidRPr="00D96F57">
        <w:rPr>
          <w:rFonts w:eastAsiaTheme="minorHAnsi"/>
          <w:sz w:val="24"/>
          <w:szCs w:val="24"/>
          <w:lang w:eastAsia="en-US"/>
        </w:rPr>
        <w:t>of</w:t>
      </w:r>
      <w:r w:rsidR="00D400C5" w:rsidRPr="00D96F57">
        <w:rPr>
          <w:rFonts w:eastAsiaTheme="minorHAnsi"/>
          <w:sz w:val="24"/>
          <w:szCs w:val="24"/>
          <w:lang w:eastAsia="en-US"/>
        </w:rPr>
        <w:t xml:space="preserve"> team work and the continuity and quality of relationships with patients; </w:t>
      </w:r>
    </w:p>
    <w:p w14:paraId="1640B147" w14:textId="77777777" w:rsidR="00D400C5" w:rsidRPr="00D96F57" w:rsidRDefault="00D400C5" w:rsidP="00D400C5">
      <w:pPr>
        <w:numPr>
          <w:ilvl w:val="0"/>
          <w:numId w:val="1"/>
        </w:numPr>
        <w:spacing w:after="160" w:line="259" w:lineRule="auto"/>
        <w:contextualSpacing/>
        <w:rPr>
          <w:rFonts w:eastAsiaTheme="minorHAnsi"/>
          <w:sz w:val="24"/>
          <w:szCs w:val="24"/>
          <w:lang w:eastAsia="en-US"/>
        </w:rPr>
      </w:pPr>
      <w:r w:rsidRPr="00D96F57">
        <w:rPr>
          <w:rFonts w:eastAsiaTheme="minorHAnsi"/>
          <w:color w:val="1A1A1A" w:themeColor="background1" w:themeShade="1A"/>
          <w:sz w:val="24"/>
          <w:szCs w:val="24"/>
          <w:lang w:eastAsia="en-US"/>
        </w:rPr>
        <w:t>create a dependence on</w:t>
      </w:r>
      <w:r w:rsidRPr="00D96F57">
        <w:rPr>
          <w:rFonts w:eastAsiaTheme="minorHAnsi"/>
          <w:color w:val="3366FF"/>
          <w:sz w:val="24"/>
          <w:szCs w:val="24"/>
          <w:lang w:eastAsia="en-US"/>
        </w:rPr>
        <w:t xml:space="preserve"> </w:t>
      </w:r>
      <w:r w:rsidRPr="00D96F57">
        <w:rPr>
          <w:rFonts w:eastAsiaTheme="minorHAnsi"/>
          <w:sz w:val="24"/>
          <w:szCs w:val="24"/>
          <w:lang w:eastAsia="en-US"/>
        </w:rPr>
        <w:t xml:space="preserve">multiple transnational corporations to drive the creation of </w:t>
      </w:r>
      <w:r w:rsidR="002000EF" w:rsidRPr="00D96F57">
        <w:rPr>
          <w:rFonts w:eastAsiaTheme="minorHAnsi"/>
          <w:sz w:val="24"/>
          <w:szCs w:val="24"/>
          <w:lang w:eastAsia="en-US"/>
        </w:rPr>
        <w:t xml:space="preserve">vast </w:t>
      </w:r>
      <w:r w:rsidRPr="00D96F57">
        <w:rPr>
          <w:rFonts w:eastAsiaTheme="minorHAnsi"/>
          <w:sz w:val="24"/>
          <w:szCs w:val="24"/>
          <w:lang w:eastAsia="en-US"/>
        </w:rPr>
        <w:t>health and social care data</w:t>
      </w:r>
      <w:r w:rsidR="002000EF" w:rsidRPr="00D96F57">
        <w:rPr>
          <w:rFonts w:eastAsiaTheme="minorHAnsi"/>
          <w:sz w:val="24"/>
          <w:szCs w:val="24"/>
          <w:lang w:eastAsia="en-US"/>
        </w:rPr>
        <w:t xml:space="preserve"> sets </w:t>
      </w:r>
      <w:r w:rsidRPr="00D96F57">
        <w:rPr>
          <w:rFonts w:eastAsiaTheme="minorHAnsi"/>
          <w:sz w:val="24"/>
          <w:szCs w:val="24"/>
          <w:lang w:eastAsia="en-US"/>
        </w:rPr>
        <w:t xml:space="preserve">- an invaluable research and planning resource </w:t>
      </w:r>
      <w:r w:rsidRPr="00D96F57">
        <w:rPr>
          <w:rFonts w:eastAsiaTheme="minorHAnsi"/>
          <w:color w:val="1A1A1A" w:themeColor="background1" w:themeShade="1A"/>
          <w:sz w:val="24"/>
          <w:szCs w:val="24"/>
          <w:lang w:eastAsia="en-US"/>
        </w:rPr>
        <w:t xml:space="preserve">but one </w:t>
      </w:r>
      <w:r w:rsidRPr="00D96F57">
        <w:rPr>
          <w:rFonts w:eastAsiaTheme="minorHAnsi"/>
          <w:sz w:val="24"/>
          <w:szCs w:val="24"/>
          <w:lang w:eastAsia="en-US"/>
        </w:rPr>
        <w:t>that will be open to commercial exploitation;</w:t>
      </w:r>
    </w:p>
    <w:p w14:paraId="4ADDB068" w14:textId="77777777" w:rsidR="00D400C5" w:rsidRPr="00D96F57" w:rsidRDefault="00D400C5" w:rsidP="00D400C5">
      <w:pPr>
        <w:numPr>
          <w:ilvl w:val="0"/>
          <w:numId w:val="1"/>
        </w:numPr>
        <w:spacing w:after="160" w:line="259" w:lineRule="auto"/>
        <w:contextualSpacing/>
        <w:rPr>
          <w:rFonts w:eastAsiaTheme="minorHAnsi"/>
          <w:sz w:val="24"/>
          <w:szCs w:val="24"/>
          <w:lang w:eastAsia="en-US"/>
        </w:rPr>
      </w:pPr>
      <w:r w:rsidRPr="00D96F57">
        <w:rPr>
          <w:rFonts w:eastAsiaTheme="minorHAnsi"/>
          <w:sz w:val="24"/>
          <w:szCs w:val="24"/>
          <w:lang w:eastAsia="en-US"/>
        </w:rPr>
        <w:lastRenderedPageBreak/>
        <w:t xml:space="preserve">from the development of systems and data banks through to care management and provision, increase opportunities for private corporate profit making </w:t>
      </w:r>
      <w:r w:rsidRPr="00D96F57">
        <w:rPr>
          <w:rFonts w:eastAsiaTheme="minorHAnsi"/>
          <w:color w:val="1A1A1A" w:themeColor="background1" w:themeShade="1A"/>
          <w:sz w:val="24"/>
          <w:szCs w:val="24"/>
          <w:lang w:eastAsia="en-US"/>
        </w:rPr>
        <w:t>while NHS services remain underfunded.</w:t>
      </w:r>
    </w:p>
    <w:p w14:paraId="35C567CA" w14:textId="77777777" w:rsidR="00D400C5" w:rsidRPr="00D96F57" w:rsidRDefault="00D400C5" w:rsidP="00D400C5">
      <w:pPr>
        <w:rPr>
          <w:rFonts w:eastAsiaTheme="minorHAnsi"/>
          <w:sz w:val="24"/>
          <w:szCs w:val="24"/>
          <w:lang w:eastAsia="en-US"/>
        </w:rPr>
      </w:pPr>
    </w:p>
    <w:p w14:paraId="712B7A56" w14:textId="77777777" w:rsidR="00D400C5" w:rsidRPr="00D96F57" w:rsidRDefault="00D400C5" w:rsidP="00D400C5">
      <w:pPr>
        <w:rPr>
          <w:b/>
          <w:bCs/>
          <w:sz w:val="24"/>
          <w:szCs w:val="24"/>
        </w:rPr>
      </w:pPr>
      <w:r w:rsidRPr="00D96F57">
        <w:rPr>
          <w:b/>
          <w:bCs/>
          <w:sz w:val="24"/>
          <w:szCs w:val="24"/>
        </w:rPr>
        <w:t>Fragmenting the National NHS and controlling system budgets</w:t>
      </w:r>
    </w:p>
    <w:p w14:paraId="2C0119CC" w14:textId="77777777" w:rsidR="00D400C5" w:rsidRPr="00D96F57" w:rsidRDefault="00D400C5" w:rsidP="00D400C5">
      <w:pPr>
        <w:rPr>
          <w:b/>
          <w:bCs/>
          <w:sz w:val="24"/>
          <w:szCs w:val="24"/>
        </w:rPr>
      </w:pPr>
    </w:p>
    <w:p w14:paraId="414777F5" w14:textId="77777777" w:rsidR="00D400C5" w:rsidRPr="00D96F57" w:rsidRDefault="00D400C5" w:rsidP="00D400C5">
      <w:pPr>
        <w:numPr>
          <w:ilvl w:val="0"/>
          <w:numId w:val="2"/>
        </w:numPr>
        <w:contextualSpacing/>
        <w:rPr>
          <w:sz w:val="24"/>
          <w:szCs w:val="24"/>
        </w:rPr>
      </w:pPr>
      <w:r w:rsidRPr="00D96F57">
        <w:rPr>
          <w:sz w:val="24"/>
          <w:szCs w:val="24"/>
        </w:rPr>
        <w:t xml:space="preserve">The Bill provides statutory authority for 42 Integrated Care Systems (ICSs), </w:t>
      </w:r>
      <w:r w:rsidRPr="00D96F57">
        <w:rPr>
          <w:color w:val="1A1A1A" w:themeColor="background1" w:themeShade="1A"/>
          <w:sz w:val="24"/>
          <w:szCs w:val="24"/>
        </w:rPr>
        <w:t xml:space="preserve">modelled on </w:t>
      </w:r>
      <w:r w:rsidRPr="00D96F57">
        <w:rPr>
          <w:sz w:val="24"/>
          <w:szCs w:val="24"/>
        </w:rPr>
        <w:t>Accountable Care</w:t>
      </w:r>
      <w:r w:rsidRPr="00D96F57">
        <w:rPr>
          <w:sz w:val="24"/>
          <w:szCs w:val="24"/>
          <w:vertAlign w:val="superscript"/>
        </w:rPr>
        <w:footnoteReference w:id="4"/>
      </w:r>
      <w:r w:rsidRPr="00D96F57">
        <w:rPr>
          <w:sz w:val="24"/>
          <w:szCs w:val="24"/>
        </w:rPr>
        <w:t xml:space="preserve"> specifically designed to reduce state expenditure on healthcare. </w:t>
      </w:r>
      <w:r w:rsidRPr="00D96F57">
        <w:rPr>
          <w:color w:val="1A1A1A" w:themeColor="background1" w:themeShade="1A"/>
          <w:sz w:val="24"/>
          <w:szCs w:val="24"/>
        </w:rPr>
        <w:t>Each ICS will be funded</w:t>
      </w:r>
      <w:r w:rsidRPr="00D96F57">
        <w:rPr>
          <w:sz w:val="24"/>
          <w:szCs w:val="24"/>
        </w:rPr>
        <w:t xml:space="preserve"> by its own W</w:t>
      </w:r>
      <w:r w:rsidR="00B854E9" w:rsidRPr="00D96F57">
        <w:rPr>
          <w:sz w:val="24"/>
          <w:szCs w:val="24"/>
        </w:rPr>
        <w:t xml:space="preserve">hole </w:t>
      </w:r>
      <w:r w:rsidRPr="00D96F57">
        <w:rPr>
          <w:sz w:val="24"/>
          <w:szCs w:val="24"/>
        </w:rPr>
        <w:t>P</w:t>
      </w:r>
      <w:r w:rsidR="00B854E9" w:rsidRPr="00D96F57">
        <w:rPr>
          <w:sz w:val="24"/>
          <w:szCs w:val="24"/>
        </w:rPr>
        <w:t xml:space="preserve">opulation </w:t>
      </w:r>
      <w:r w:rsidRPr="00D96F57">
        <w:rPr>
          <w:sz w:val="24"/>
          <w:szCs w:val="24"/>
        </w:rPr>
        <w:t>A</w:t>
      </w:r>
      <w:r w:rsidR="00B854E9" w:rsidRPr="00D96F57">
        <w:rPr>
          <w:sz w:val="24"/>
          <w:szCs w:val="24"/>
        </w:rPr>
        <w:t xml:space="preserve">nnual </w:t>
      </w:r>
      <w:r w:rsidRPr="00D96F57">
        <w:rPr>
          <w:sz w:val="24"/>
          <w:szCs w:val="24"/>
        </w:rPr>
        <w:t>P</w:t>
      </w:r>
      <w:r w:rsidR="00B854E9" w:rsidRPr="00D96F57">
        <w:rPr>
          <w:sz w:val="24"/>
          <w:szCs w:val="24"/>
        </w:rPr>
        <w:t>ayment</w:t>
      </w:r>
      <w:r w:rsidRPr="00D96F57">
        <w:rPr>
          <w:sz w:val="24"/>
          <w:szCs w:val="24"/>
        </w:rPr>
        <w:t xml:space="preserve">, </w:t>
      </w:r>
      <w:r w:rsidRPr="00D96F57">
        <w:rPr>
          <w:color w:val="1A1A1A" w:themeColor="background1" w:themeShade="1A"/>
          <w:sz w:val="24"/>
          <w:szCs w:val="24"/>
        </w:rPr>
        <w:t>with a l</w:t>
      </w:r>
      <w:r w:rsidRPr="00D96F57">
        <w:rPr>
          <w:sz w:val="24"/>
          <w:szCs w:val="24"/>
        </w:rPr>
        <w:t>egal duty placed on ICBs</w:t>
      </w:r>
      <w:r w:rsidR="00DD5CC7" w:rsidRPr="00D96F57">
        <w:rPr>
          <w:sz w:val="24"/>
          <w:szCs w:val="24"/>
        </w:rPr>
        <w:t xml:space="preserve"> </w:t>
      </w:r>
      <w:r w:rsidRPr="00D96F57">
        <w:rPr>
          <w:sz w:val="24"/>
          <w:szCs w:val="24"/>
        </w:rPr>
        <w:t xml:space="preserve">and eventually all their associated </w:t>
      </w:r>
      <w:r w:rsidRPr="00D96F57">
        <w:rPr>
          <w:color w:val="1A1A1A" w:themeColor="background1" w:themeShade="1A"/>
          <w:sz w:val="24"/>
          <w:szCs w:val="24"/>
        </w:rPr>
        <w:t>Partners, not</w:t>
      </w:r>
      <w:r w:rsidRPr="00D96F57">
        <w:rPr>
          <w:sz w:val="24"/>
          <w:szCs w:val="24"/>
        </w:rPr>
        <w:t xml:space="preserve"> to overspend their own and the system revenue and capital budgets</w:t>
      </w:r>
      <w:r w:rsidRPr="00D96F57">
        <w:rPr>
          <w:sz w:val="24"/>
          <w:szCs w:val="24"/>
          <w:vertAlign w:val="superscript"/>
        </w:rPr>
        <w:footnoteReference w:id="5"/>
      </w:r>
      <w:r w:rsidRPr="00D96F57">
        <w:rPr>
          <w:sz w:val="24"/>
          <w:szCs w:val="24"/>
        </w:rPr>
        <w:t xml:space="preserve">.  </w:t>
      </w:r>
    </w:p>
    <w:p w14:paraId="6DD1CB77" w14:textId="77777777" w:rsidR="00D400C5" w:rsidRPr="00D96F57" w:rsidRDefault="00D400C5" w:rsidP="00D400C5">
      <w:pPr>
        <w:rPr>
          <w:sz w:val="24"/>
          <w:szCs w:val="24"/>
        </w:rPr>
      </w:pPr>
    </w:p>
    <w:p w14:paraId="24778FCA" w14:textId="77777777" w:rsidR="00D400C5" w:rsidRPr="00D96F57" w:rsidRDefault="00D400C5" w:rsidP="00D400C5">
      <w:pPr>
        <w:numPr>
          <w:ilvl w:val="0"/>
          <w:numId w:val="2"/>
        </w:numPr>
        <w:contextualSpacing/>
        <w:rPr>
          <w:i/>
          <w:color w:val="000000" w:themeColor="text1"/>
          <w:sz w:val="24"/>
          <w:szCs w:val="24"/>
        </w:rPr>
      </w:pPr>
      <w:r w:rsidRPr="00D96F57">
        <w:rPr>
          <w:sz w:val="24"/>
          <w:szCs w:val="24"/>
        </w:rPr>
        <w:t>A key aim is to replace the national tariff system in which treatments have a fixed price for all patients, and replace it with a Payment Scheme</w:t>
      </w:r>
      <w:r w:rsidR="00B854E9" w:rsidRPr="00D96F57">
        <w:rPr>
          <w:sz w:val="24"/>
          <w:szCs w:val="24"/>
        </w:rPr>
        <w:t>.</w:t>
      </w:r>
      <w:r w:rsidRPr="00D96F57">
        <w:rPr>
          <w:sz w:val="24"/>
          <w:szCs w:val="24"/>
        </w:rPr>
        <w:t xml:space="preserve"> </w:t>
      </w:r>
      <w:r w:rsidR="00B854E9" w:rsidRPr="00D96F57">
        <w:rPr>
          <w:sz w:val="24"/>
          <w:szCs w:val="24"/>
        </w:rPr>
        <w:t xml:space="preserve">This </w:t>
      </w:r>
      <w:r w:rsidRPr="00D96F57">
        <w:rPr>
          <w:sz w:val="24"/>
          <w:szCs w:val="24"/>
        </w:rPr>
        <w:t xml:space="preserve">may make different provision for the same service depending on </w:t>
      </w:r>
      <w:r w:rsidR="00B854E9" w:rsidRPr="00D96F57">
        <w:rPr>
          <w:sz w:val="24"/>
          <w:szCs w:val="24"/>
        </w:rPr>
        <w:t xml:space="preserve">local </w:t>
      </w:r>
      <w:r w:rsidRPr="00D96F57">
        <w:rPr>
          <w:sz w:val="24"/>
          <w:szCs w:val="24"/>
        </w:rPr>
        <w:t xml:space="preserve">circumstances, areas, types of provider, other factors related to provision or arrangements for the service, different </w:t>
      </w:r>
      <w:r w:rsidR="002000EF" w:rsidRPr="00D96F57">
        <w:rPr>
          <w:sz w:val="24"/>
          <w:szCs w:val="24"/>
        </w:rPr>
        <w:t>populations</w:t>
      </w:r>
      <w:r w:rsidRPr="00D96F57">
        <w:rPr>
          <w:sz w:val="24"/>
          <w:szCs w:val="24"/>
        </w:rPr>
        <w:t>, and the range of services provided</w:t>
      </w:r>
      <w:r w:rsidR="003B077B" w:rsidRPr="00D96F57">
        <w:rPr>
          <w:sz w:val="24"/>
          <w:szCs w:val="24"/>
        </w:rPr>
        <w:t>.</w:t>
      </w:r>
      <w:r w:rsidRPr="00D96F57">
        <w:rPr>
          <w:sz w:val="24"/>
          <w:szCs w:val="24"/>
          <w:vertAlign w:val="superscript"/>
        </w:rPr>
        <w:footnoteReference w:id="6"/>
      </w:r>
      <w:r w:rsidRPr="00D96F57">
        <w:rPr>
          <w:color w:val="3366FF"/>
          <w:sz w:val="24"/>
          <w:szCs w:val="24"/>
        </w:rPr>
        <w:t xml:space="preserve"> </w:t>
      </w:r>
      <w:r w:rsidR="00B854E9" w:rsidRPr="00D96F57">
        <w:rPr>
          <w:color w:val="000000" w:themeColor="text1"/>
          <w:sz w:val="24"/>
          <w:szCs w:val="24"/>
        </w:rPr>
        <w:t>E</w:t>
      </w:r>
      <w:r w:rsidRPr="00D96F57">
        <w:rPr>
          <w:color w:val="000000" w:themeColor="text1"/>
          <w:sz w:val="24"/>
          <w:szCs w:val="24"/>
        </w:rPr>
        <w:t xml:space="preserve">ach ICS will have different costs, and </w:t>
      </w:r>
      <w:r w:rsidR="00B854E9" w:rsidRPr="00D96F57">
        <w:rPr>
          <w:color w:val="000000" w:themeColor="text1"/>
          <w:sz w:val="24"/>
          <w:szCs w:val="24"/>
        </w:rPr>
        <w:t>disparities between ICSs are likely to develop. Among</w:t>
      </w:r>
      <w:r w:rsidR="00A83A6C" w:rsidRPr="00D96F57">
        <w:rPr>
          <w:color w:val="000000" w:themeColor="text1"/>
          <w:sz w:val="24"/>
          <w:szCs w:val="24"/>
        </w:rPr>
        <w:t xml:space="preserve"> our</w:t>
      </w:r>
      <w:r w:rsidR="00FF2C56" w:rsidRPr="00D96F57">
        <w:rPr>
          <w:color w:val="000000" w:themeColor="text1"/>
          <w:sz w:val="24"/>
          <w:szCs w:val="24"/>
        </w:rPr>
        <w:t xml:space="preserve"> </w:t>
      </w:r>
      <w:r w:rsidR="00B854E9" w:rsidRPr="00D96F57">
        <w:rPr>
          <w:color w:val="000000" w:themeColor="text1"/>
          <w:sz w:val="24"/>
          <w:szCs w:val="24"/>
        </w:rPr>
        <w:t>concerns is the possibility that, in this context, the national scheme for staff pay, terms and conditions will be undermined</w:t>
      </w:r>
      <w:r w:rsidR="002000EF" w:rsidRPr="00D96F57">
        <w:rPr>
          <w:color w:val="000000" w:themeColor="text1"/>
          <w:sz w:val="24"/>
          <w:szCs w:val="24"/>
        </w:rPr>
        <w:t xml:space="preserve"> </w:t>
      </w:r>
      <w:r w:rsidRPr="00D96F57">
        <w:rPr>
          <w:color w:val="000000" w:themeColor="text1"/>
          <w:sz w:val="24"/>
          <w:szCs w:val="24"/>
        </w:rPr>
        <w:t xml:space="preserve">– especially in the </w:t>
      </w:r>
      <w:r w:rsidR="00B854E9" w:rsidRPr="00D96F57">
        <w:rPr>
          <w:color w:val="000000" w:themeColor="text1"/>
          <w:sz w:val="24"/>
          <w:szCs w:val="24"/>
        </w:rPr>
        <w:t>situation</w:t>
      </w:r>
      <w:r w:rsidRPr="00D96F57">
        <w:rPr>
          <w:color w:val="000000" w:themeColor="text1"/>
          <w:sz w:val="24"/>
          <w:szCs w:val="24"/>
        </w:rPr>
        <w:t xml:space="preserve"> </w:t>
      </w:r>
      <w:r w:rsidR="00B854E9" w:rsidRPr="00D96F57">
        <w:rPr>
          <w:color w:val="000000" w:themeColor="text1"/>
          <w:sz w:val="24"/>
          <w:szCs w:val="24"/>
        </w:rPr>
        <w:t>where there are</w:t>
      </w:r>
      <w:r w:rsidRPr="00D96F57">
        <w:rPr>
          <w:color w:val="000000" w:themeColor="text1"/>
          <w:sz w:val="24"/>
          <w:szCs w:val="24"/>
        </w:rPr>
        <w:t xml:space="preserve"> strong pressure</w:t>
      </w:r>
      <w:r w:rsidR="00B854E9" w:rsidRPr="00D96F57">
        <w:rPr>
          <w:color w:val="000000" w:themeColor="text1"/>
          <w:sz w:val="24"/>
          <w:szCs w:val="24"/>
        </w:rPr>
        <w:t>s</w:t>
      </w:r>
      <w:r w:rsidRPr="00D96F57">
        <w:rPr>
          <w:color w:val="000000" w:themeColor="text1"/>
          <w:sz w:val="24"/>
          <w:szCs w:val="24"/>
        </w:rPr>
        <w:t xml:space="preserve"> to cut costs. </w:t>
      </w:r>
      <w:r w:rsidR="00B854E9" w:rsidRPr="00D96F57">
        <w:rPr>
          <w:color w:val="000000" w:themeColor="text1"/>
          <w:sz w:val="24"/>
          <w:szCs w:val="24"/>
        </w:rPr>
        <w:t xml:space="preserve">One outcome could be that staff migrate from poorly funded areas. Explanatory </w:t>
      </w:r>
      <w:r w:rsidRPr="00D96F57">
        <w:rPr>
          <w:color w:val="000000" w:themeColor="text1"/>
          <w:sz w:val="24"/>
          <w:szCs w:val="24"/>
        </w:rPr>
        <w:t>Note EN 27 makes it</w:t>
      </w:r>
      <w:r w:rsidRPr="00D96F57">
        <w:rPr>
          <w:color w:val="3366FF"/>
          <w:sz w:val="24"/>
          <w:szCs w:val="24"/>
        </w:rPr>
        <w:t xml:space="preserve"> </w:t>
      </w:r>
      <w:r w:rsidRPr="00D96F57">
        <w:rPr>
          <w:sz w:val="24"/>
          <w:szCs w:val="24"/>
        </w:rPr>
        <w:t>explicit that the private sector can influence the details</w:t>
      </w:r>
      <w:r w:rsidR="00B854E9" w:rsidRPr="00D96F57">
        <w:rPr>
          <w:sz w:val="24"/>
          <w:szCs w:val="24"/>
        </w:rPr>
        <w:t xml:space="preserve"> of the payment scheme rules of how</w:t>
      </w:r>
      <w:r w:rsidR="004E3B3F" w:rsidRPr="00D96F57">
        <w:rPr>
          <w:sz w:val="24"/>
          <w:szCs w:val="24"/>
        </w:rPr>
        <w:t xml:space="preserve"> </w:t>
      </w:r>
      <w:r w:rsidR="00B854E9" w:rsidRPr="00D96F57">
        <w:rPr>
          <w:sz w:val="24"/>
          <w:szCs w:val="24"/>
        </w:rPr>
        <w:t>commissioners establish prices to pay providers.</w:t>
      </w:r>
      <w:r w:rsidRPr="00D96F57">
        <w:rPr>
          <w:sz w:val="24"/>
          <w:szCs w:val="24"/>
          <w:vertAlign w:val="superscript"/>
        </w:rPr>
        <w:footnoteReference w:id="7"/>
      </w:r>
    </w:p>
    <w:p w14:paraId="19D40018" w14:textId="77777777" w:rsidR="00BB2146" w:rsidRPr="00D96F57" w:rsidRDefault="00BB2146" w:rsidP="00D400C5">
      <w:pPr>
        <w:rPr>
          <w:b/>
          <w:bCs/>
          <w:sz w:val="24"/>
          <w:szCs w:val="24"/>
        </w:rPr>
      </w:pPr>
    </w:p>
    <w:p w14:paraId="751445AC" w14:textId="77777777" w:rsidR="00D400C5" w:rsidRPr="00D96F57" w:rsidRDefault="00D400C5" w:rsidP="00D400C5">
      <w:pPr>
        <w:rPr>
          <w:i/>
          <w:color w:val="000000" w:themeColor="text1"/>
          <w:sz w:val="24"/>
          <w:szCs w:val="24"/>
        </w:rPr>
      </w:pPr>
      <w:r w:rsidRPr="00D96F57">
        <w:rPr>
          <w:b/>
          <w:bCs/>
          <w:sz w:val="24"/>
          <w:szCs w:val="24"/>
        </w:rPr>
        <w:t>Deregulation of Procurement</w:t>
      </w:r>
    </w:p>
    <w:p w14:paraId="25C1D717" w14:textId="77777777" w:rsidR="00D400C5" w:rsidRPr="00D96F57" w:rsidRDefault="00D400C5" w:rsidP="00D400C5">
      <w:pPr>
        <w:rPr>
          <w:b/>
          <w:bCs/>
          <w:sz w:val="24"/>
          <w:szCs w:val="24"/>
        </w:rPr>
      </w:pPr>
    </w:p>
    <w:p w14:paraId="18654DB9" w14:textId="77777777" w:rsidR="00D400C5" w:rsidRPr="00D96F57" w:rsidRDefault="00D400C5" w:rsidP="00D400C5">
      <w:pPr>
        <w:numPr>
          <w:ilvl w:val="0"/>
          <w:numId w:val="2"/>
        </w:numPr>
        <w:contextualSpacing/>
        <w:rPr>
          <w:sz w:val="24"/>
          <w:szCs w:val="24"/>
        </w:rPr>
      </w:pPr>
      <w:r w:rsidRPr="00D96F57">
        <w:rPr>
          <w:color w:val="1A1A1A" w:themeColor="background1" w:themeShade="1A"/>
          <w:sz w:val="24"/>
          <w:szCs w:val="24"/>
        </w:rPr>
        <w:t xml:space="preserve">The Bill proposes </w:t>
      </w:r>
      <w:r w:rsidRPr="00D96F57">
        <w:rPr>
          <w:sz w:val="24"/>
          <w:szCs w:val="24"/>
        </w:rPr>
        <w:t>repealing Section 75 of the H</w:t>
      </w:r>
      <w:r w:rsidR="00B854E9" w:rsidRPr="00D96F57">
        <w:rPr>
          <w:sz w:val="24"/>
          <w:szCs w:val="24"/>
        </w:rPr>
        <w:t xml:space="preserve">ealth </w:t>
      </w:r>
      <w:r w:rsidRPr="00D96F57">
        <w:rPr>
          <w:sz w:val="24"/>
          <w:szCs w:val="24"/>
        </w:rPr>
        <w:t>&amp;</w:t>
      </w:r>
      <w:r w:rsidR="00B854E9" w:rsidRPr="00D96F57">
        <w:rPr>
          <w:sz w:val="24"/>
          <w:szCs w:val="24"/>
        </w:rPr>
        <w:t xml:space="preserve"> </w:t>
      </w:r>
      <w:r w:rsidRPr="00D96F57">
        <w:rPr>
          <w:sz w:val="24"/>
          <w:szCs w:val="24"/>
        </w:rPr>
        <w:t>S</w:t>
      </w:r>
      <w:r w:rsidR="00B854E9" w:rsidRPr="00D96F57">
        <w:rPr>
          <w:sz w:val="24"/>
          <w:szCs w:val="24"/>
        </w:rPr>
        <w:t xml:space="preserve">ocial </w:t>
      </w:r>
      <w:r w:rsidRPr="00D96F57">
        <w:rPr>
          <w:sz w:val="24"/>
          <w:szCs w:val="24"/>
        </w:rPr>
        <w:t>C</w:t>
      </w:r>
      <w:r w:rsidR="00B854E9" w:rsidRPr="00D96F57">
        <w:rPr>
          <w:sz w:val="24"/>
          <w:szCs w:val="24"/>
        </w:rPr>
        <w:t>are</w:t>
      </w:r>
      <w:r w:rsidRPr="00D96F57">
        <w:rPr>
          <w:sz w:val="24"/>
          <w:szCs w:val="24"/>
        </w:rPr>
        <w:t xml:space="preserve"> Act 2012; revoking the NHS (Procurement, Patient Choice and Competition) (No. 2) Regulations 2013, and reducing the Competition and Markets Authority’s (CMA) competition duties (EN121-122). </w:t>
      </w:r>
      <w:r w:rsidRPr="00D96F57">
        <w:rPr>
          <w:color w:val="1A1A1A" w:themeColor="background1" w:themeShade="1A"/>
          <w:sz w:val="24"/>
          <w:szCs w:val="24"/>
        </w:rPr>
        <w:t>It</w:t>
      </w:r>
      <w:r w:rsidRPr="00D96F57">
        <w:rPr>
          <w:color w:val="3366FF"/>
          <w:sz w:val="24"/>
          <w:szCs w:val="24"/>
        </w:rPr>
        <w:t xml:space="preserve"> </w:t>
      </w:r>
      <w:r w:rsidRPr="00D96F57">
        <w:rPr>
          <w:sz w:val="24"/>
          <w:szCs w:val="24"/>
        </w:rPr>
        <w:t xml:space="preserve">provides a power to create a separate procurement regime for clinical services, </w:t>
      </w:r>
      <w:r w:rsidRPr="00D96F57">
        <w:rPr>
          <w:color w:val="1A1A1A" w:themeColor="background1" w:themeShade="1A"/>
          <w:sz w:val="24"/>
          <w:szCs w:val="24"/>
        </w:rPr>
        <w:t>and</w:t>
      </w:r>
      <w:r w:rsidRPr="00D96F57">
        <w:rPr>
          <w:color w:val="3366FF"/>
          <w:sz w:val="24"/>
          <w:szCs w:val="24"/>
        </w:rPr>
        <w:t xml:space="preserve"> </w:t>
      </w:r>
      <w:r w:rsidRPr="00D96F57">
        <w:rPr>
          <w:color w:val="1A1A1A" w:themeColor="background1" w:themeShade="1A"/>
          <w:sz w:val="24"/>
          <w:szCs w:val="24"/>
        </w:rPr>
        <w:t>remove</w:t>
      </w:r>
      <w:r w:rsidRPr="00D96F57">
        <w:rPr>
          <w:color w:val="3366FF"/>
          <w:sz w:val="24"/>
          <w:szCs w:val="24"/>
        </w:rPr>
        <w:t xml:space="preserve"> </w:t>
      </w:r>
      <w:r w:rsidRPr="00D96F57">
        <w:rPr>
          <w:sz w:val="24"/>
          <w:szCs w:val="24"/>
        </w:rPr>
        <w:t>the procurement of health care services from</w:t>
      </w:r>
      <w:r w:rsidRPr="00D96F57">
        <w:rPr>
          <w:color w:val="1A1A1A" w:themeColor="background1" w:themeShade="1A"/>
          <w:sz w:val="24"/>
          <w:szCs w:val="24"/>
        </w:rPr>
        <w:t xml:space="preserve"> the </w:t>
      </w:r>
      <w:r w:rsidRPr="00D96F57">
        <w:rPr>
          <w:sz w:val="24"/>
          <w:szCs w:val="24"/>
        </w:rPr>
        <w:t>scope of the Public Contracts Regulations (PCR) 2015 (EN-114). The power provides for mixed procurements in the regime,</w:t>
      </w:r>
      <w:r w:rsidRPr="00D96F57">
        <w:rPr>
          <w:sz w:val="24"/>
          <w:szCs w:val="24"/>
          <w:vertAlign w:val="superscript"/>
        </w:rPr>
        <w:footnoteReference w:id="8"/>
      </w:r>
      <w:r w:rsidR="00422204" w:rsidRPr="00D96F57">
        <w:rPr>
          <w:sz w:val="24"/>
          <w:szCs w:val="24"/>
        </w:rPr>
        <w:t xml:space="preserve"> so</w:t>
      </w:r>
      <w:r w:rsidRPr="00D96F57">
        <w:rPr>
          <w:sz w:val="24"/>
          <w:szCs w:val="24"/>
        </w:rPr>
        <w:t xml:space="preserve"> non-clinical services can be exempted from PCR 2015 if they are bundled with clinical services</w:t>
      </w:r>
      <w:r w:rsidR="0065303A" w:rsidRPr="00D96F57">
        <w:rPr>
          <w:sz w:val="24"/>
          <w:szCs w:val="24"/>
        </w:rPr>
        <w:t>.</w:t>
      </w:r>
    </w:p>
    <w:p w14:paraId="016366D0" w14:textId="77777777" w:rsidR="00D400C5" w:rsidRPr="00D96F57" w:rsidRDefault="00D400C5" w:rsidP="00D400C5">
      <w:pPr>
        <w:ind w:left="720"/>
        <w:contextualSpacing/>
        <w:rPr>
          <w:sz w:val="24"/>
          <w:szCs w:val="24"/>
        </w:rPr>
      </w:pPr>
    </w:p>
    <w:p w14:paraId="5D6BDA4E" w14:textId="77777777" w:rsidR="00D400C5" w:rsidRPr="00D96F57" w:rsidRDefault="00D400C5" w:rsidP="00D400C5">
      <w:pPr>
        <w:numPr>
          <w:ilvl w:val="0"/>
          <w:numId w:val="2"/>
        </w:numPr>
        <w:contextualSpacing/>
        <w:rPr>
          <w:sz w:val="24"/>
          <w:szCs w:val="24"/>
        </w:rPr>
      </w:pPr>
      <w:r w:rsidRPr="00D96F57">
        <w:rPr>
          <w:sz w:val="24"/>
          <w:szCs w:val="24"/>
        </w:rPr>
        <w:lastRenderedPageBreak/>
        <w:t>The</w:t>
      </w:r>
      <w:r w:rsidRPr="00D96F57">
        <w:rPr>
          <w:color w:val="1A1A1A" w:themeColor="background1" w:themeShade="1A"/>
          <w:sz w:val="24"/>
          <w:szCs w:val="24"/>
        </w:rPr>
        <w:t xml:space="preserve"> removal from PCR 2015 will deregulate the market </w:t>
      </w:r>
      <w:r w:rsidR="00F6247C" w:rsidRPr="00D96F57">
        <w:rPr>
          <w:color w:val="1A1A1A" w:themeColor="background1" w:themeShade="1A"/>
          <w:sz w:val="24"/>
          <w:szCs w:val="24"/>
        </w:rPr>
        <w:t xml:space="preserve">with </w:t>
      </w:r>
      <w:r w:rsidRPr="00D96F57">
        <w:rPr>
          <w:color w:val="1A1A1A" w:themeColor="background1" w:themeShade="1A"/>
          <w:sz w:val="24"/>
          <w:szCs w:val="24"/>
        </w:rPr>
        <w:t xml:space="preserve">the loss of </w:t>
      </w:r>
      <w:r w:rsidR="00EB4F9D" w:rsidRPr="00D96F57">
        <w:rPr>
          <w:color w:val="1A1A1A" w:themeColor="background1" w:themeShade="1A"/>
          <w:sz w:val="24"/>
          <w:szCs w:val="24"/>
        </w:rPr>
        <w:t>the</w:t>
      </w:r>
      <w:r w:rsidRPr="00D96F57">
        <w:rPr>
          <w:color w:val="1A1A1A" w:themeColor="background1" w:themeShade="1A"/>
          <w:sz w:val="24"/>
          <w:szCs w:val="24"/>
        </w:rPr>
        <w:t xml:space="preserve"> labour and environ</w:t>
      </w:r>
      <w:r w:rsidRPr="00D96F57">
        <w:rPr>
          <w:sz w:val="24"/>
          <w:szCs w:val="24"/>
        </w:rPr>
        <w:t xml:space="preserve">mental </w:t>
      </w:r>
      <w:r w:rsidR="00422204" w:rsidRPr="00D96F57">
        <w:rPr>
          <w:sz w:val="24"/>
          <w:szCs w:val="24"/>
        </w:rPr>
        <w:t>protections that</w:t>
      </w:r>
      <w:r w:rsidRPr="00D96F57">
        <w:rPr>
          <w:sz w:val="24"/>
          <w:szCs w:val="24"/>
        </w:rPr>
        <w:t xml:space="preserve"> enable contracting authorities to incorporate social, ethical and environmental aspects in their contract conditions and award criteria. </w:t>
      </w:r>
      <w:r w:rsidRPr="00D96F57">
        <w:rPr>
          <w:iCs/>
          <w:sz w:val="24"/>
          <w:szCs w:val="24"/>
        </w:rPr>
        <w:t>The</w:t>
      </w:r>
      <w:r w:rsidR="00AD3786" w:rsidRPr="00D96F57">
        <w:rPr>
          <w:iCs/>
          <w:sz w:val="24"/>
          <w:szCs w:val="24"/>
        </w:rPr>
        <w:t xml:space="preserve">se </w:t>
      </w:r>
      <w:r w:rsidR="00B854E9" w:rsidRPr="00D96F57">
        <w:rPr>
          <w:iCs/>
          <w:sz w:val="24"/>
          <w:szCs w:val="24"/>
        </w:rPr>
        <w:t xml:space="preserve">protections </w:t>
      </w:r>
      <w:r w:rsidR="00AD3786" w:rsidRPr="00D96F57">
        <w:rPr>
          <w:iCs/>
          <w:sz w:val="24"/>
          <w:szCs w:val="24"/>
        </w:rPr>
        <w:t>include</w:t>
      </w:r>
      <w:r w:rsidRPr="00D96F57">
        <w:rPr>
          <w:iCs/>
          <w:sz w:val="24"/>
          <w:szCs w:val="24"/>
        </w:rPr>
        <w:t xml:space="preserve"> specific</w:t>
      </w:r>
      <w:r w:rsidRPr="00D96F57">
        <w:rPr>
          <w:i/>
          <w:sz w:val="24"/>
          <w:szCs w:val="24"/>
        </w:rPr>
        <w:t xml:space="preserve"> </w:t>
      </w:r>
      <w:r w:rsidRPr="00D96F57">
        <w:rPr>
          <w:iCs/>
          <w:sz w:val="24"/>
          <w:szCs w:val="24"/>
        </w:rPr>
        <w:t xml:space="preserve">rules </w:t>
      </w:r>
      <w:r w:rsidR="00696343" w:rsidRPr="00D96F57">
        <w:rPr>
          <w:iCs/>
          <w:sz w:val="24"/>
          <w:szCs w:val="24"/>
        </w:rPr>
        <w:t>to manage</w:t>
      </w:r>
      <w:r w:rsidRPr="00D96F57">
        <w:rPr>
          <w:iCs/>
          <w:sz w:val="24"/>
          <w:szCs w:val="24"/>
        </w:rPr>
        <w:t xml:space="preserve"> abnormally low tenders, and suppliers who have </w:t>
      </w:r>
      <w:r w:rsidR="00B854E9" w:rsidRPr="00D96F57">
        <w:rPr>
          <w:iCs/>
          <w:sz w:val="24"/>
          <w:szCs w:val="24"/>
        </w:rPr>
        <w:t xml:space="preserve">previously </w:t>
      </w:r>
      <w:r w:rsidRPr="00D96F57">
        <w:rPr>
          <w:iCs/>
          <w:sz w:val="24"/>
          <w:szCs w:val="24"/>
        </w:rPr>
        <w:t>violated certain social, labour</w:t>
      </w:r>
      <w:r w:rsidRPr="00D96F57">
        <w:rPr>
          <w:iCs/>
          <w:sz w:val="24"/>
          <w:szCs w:val="24"/>
          <w:vertAlign w:val="superscript"/>
        </w:rPr>
        <w:footnoteReference w:id="9"/>
      </w:r>
      <w:r w:rsidRPr="00D96F57">
        <w:rPr>
          <w:iCs/>
          <w:sz w:val="24"/>
          <w:szCs w:val="24"/>
        </w:rPr>
        <w:t xml:space="preserve"> and environmental laws.</w:t>
      </w:r>
      <w:r w:rsidRPr="00D96F57">
        <w:rPr>
          <w:sz w:val="24"/>
          <w:szCs w:val="24"/>
        </w:rPr>
        <w:t xml:space="preserve"> </w:t>
      </w:r>
      <w:r w:rsidR="00B854E9" w:rsidRPr="00D96F57">
        <w:rPr>
          <w:sz w:val="24"/>
          <w:szCs w:val="24"/>
        </w:rPr>
        <w:t xml:space="preserve">There is strong evidence that </w:t>
      </w:r>
      <w:r w:rsidRPr="00D96F57">
        <w:rPr>
          <w:sz w:val="24"/>
          <w:szCs w:val="24"/>
        </w:rPr>
        <w:t xml:space="preserve">all </w:t>
      </w:r>
      <w:r w:rsidR="00534E32" w:rsidRPr="00D96F57">
        <w:rPr>
          <w:sz w:val="24"/>
          <w:szCs w:val="24"/>
        </w:rPr>
        <w:t>NHSE’s ‘integrated</w:t>
      </w:r>
      <w:r w:rsidR="00786440" w:rsidRPr="00D96F57">
        <w:rPr>
          <w:sz w:val="24"/>
          <w:szCs w:val="24"/>
        </w:rPr>
        <w:t xml:space="preserve"> care’ </w:t>
      </w:r>
      <w:r w:rsidRPr="00D96F57">
        <w:rPr>
          <w:sz w:val="24"/>
          <w:szCs w:val="24"/>
        </w:rPr>
        <w:t>ambitions could be achieved without removal from PCR 2015 and loss of its protections.</w:t>
      </w:r>
      <w:r w:rsidRPr="00D96F57">
        <w:rPr>
          <w:sz w:val="24"/>
          <w:szCs w:val="24"/>
          <w:vertAlign w:val="superscript"/>
        </w:rPr>
        <w:footnoteReference w:id="10"/>
      </w:r>
      <w:r w:rsidRPr="00D96F57">
        <w:rPr>
          <w:sz w:val="24"/>
          <w:szCs w:val="24"/>
        </w:rPr>
        <w:t xml:space="preserve">  However, </w:t>
      </w:r>
      <w:r w:rsidR="00B854E9" w:rsidRPr="00D96F57">
        <w:rPr>
          <w:sz w:val="24"/>
          <w:szCs w:val="24"/>
        </w:rPr>
        <w:t xml:space="preserve">as </w:t>
      </w:r>
      <w:r w:rsidRPr="00D96F57">
        <w:rPr>
          <w:sz w:val="24"/>
          <w:szCs w:val="24"/>
        </w:rPr>
        <w:t>PCR 2015 restricts procurement without tendering to our public services</w:t>
      </w:r>
      <w:r w:rsidRPr="00D96F57">
        <w:rPr>
          <w:sz w:val="24"/>
          <w:szCs w:val="24"/>
          <w:vertAlign w:val="superscript"/>
        </w:rPr>
        <w:footnoteReference w:id="11"/>
      </w:r>
      <w:r w:rsidRPr="00D96F57">
        <w:rPr>
          <w:sz w:val="24"/>
          <w:szCs w:val="24"/>
        </w:rPr>
        <w:t xml:space="preserve">, deregulation is </w:t>
      </w:r>
      <w:r w:rsidR="00B854E9" w:rsidRPr="00D96F57">
        <w:rPr>
          <w:sz w:val="24"/>
          <w:szCs w:val="24"/>
        </w:rPr>
        <w:t xml:space="preserve">only </w:t>
      </w:r>
      <w:r w:rsidRPr="00D96F57">
        <w:rPr>
          <w:sz w:val="24"/>
          <w:szCs w:val="24"/>
        </w:rPr>
        <w:t>specifically required if there is a wish to give contracts to private providers</w:t>
      </w:r>
      <w:r w:rsidR="00B854E9" w:rsidRPr="00D96F57">
        <w:rPr>
          <w:sz w:val="24"/>
          <w:szCs w:val="24"/>
        </w:rPr>
        <w:t xml:space="preserve"> without tendering</w:t>
      </w:r>
      <w:r w:rsidR="00774388" w:rsidRPr="00D96F57">
        <w:rPr>
          <w:sz w:val="24"/>
          <w:szCs w:val="24"/>
        </w:rPr>
        <w:t xml:space="preserve">. </w:t>
      </w:r>
      <w:r w:rsidR="003C4944" w:rsidRPr="00D96F57">
        <w:rPr>
          <w:sz w:val="24"/>
          <w:szCs w:val="24"/>
        </w:rPr>
        <w:t xml:space="preserve"> </w:t>
      </w:r>
      <w:r w:rsidRPr="00D96F57">
        <w:rPr>
          <w:sz w:val="24"/>
          <w:szCs w:val="24"/>
        </w:rPr>
        <w:t xml:space="preserve"> </w:t>
      </w:r>
    </w:p>
    <w:p w14:paraId="0DA2CAA4" w14:textId="77777777" w:rsidR="00D400C5" w:rsidRPr="00D96F57" w:rsidRDefault="00D400C5" w:rsidP="00D400C5">
      <w:pPr>
        <w:rPr>
          <w:sz w:val="24"/>
          <w:szCs w:val="24"/>
        </w:rPr>
      </w:pPr>
    </w:p>
    <w:p w14:paraId="3944AE86" w14:textId="77777777" w:rsidR="00D400C5" w:rsidRPr="00D96F57" w:rsidRDefault="00D400C5" w:rsidP="00D400C5">
      <w:pPr>
        <w:numPr>
          <w:ilvl w:val="0"/>
          <w:numId w:val="2"/>
        </w:numPr>
        <w:contextualSpacing/>
        <w:rPr>
          <w:i/>
          <w:color w:val="3366FF"/>
          <w:sz w:val="24"/>
          <w:szCs w:val="24"/>
        </w:rPr>
      </w:pPr>
      <w:r w:rsidRPr="00D96F57">
        <w:rPr>
          <w:sz w:val="24"/>
          <w:szCs w:val="24"/>
        </w:rPr>
        <w:t xml:space="preserve">Clause 68 </w:t>
      </w:r>
      <w:r w:rsidR="00B854E9" w:rsidRPr="00D96F57">
        <w:rPr>
          <w:sz w:val="24"/>
          <w:szCs w:val="24"/>
        </w:rPr>
        <w:t xml:space="preserve">of the Bill </w:t>
      </w:r>
      <w:r w:rsidRPr="00D96F57">
        <w:rPr>
          <w:sz w:val="24"/>
          <w:szCs w:val="24"/>
        </w:rPr>
        <w:t>provides for new regulations on procurement</w:t>
      </w:r>
      <w:r w:rsidRPr="00D96F57">
        <w:rPr>
          <w:sz w:val="24"/>
          <w:szCs w:val="24"/>
          <w:vertAlign w:val="superscript"/>
        </w:rPr>
        <w:footnoteReference w:id="12"/>
      </w:r>
      <w:r w:rsidRPr="00D96F57">
        <w:rPr>
          <w:sz w:val="24"/>
          <w:szCs w:val="24"/>
        </w:rPr>
        <w:t xml:space="preserve"> </w:t>
      </w:r>
      <w:r w:rsidR="00B854E9" w:rsidRPr="00D96F57">
        <w:rPr>
          <w:sz w:val="24"/>
          <w:szCs w:val="24"/>
        </w:rPr>
        <w:t>u</w:t>
      </w:r>
      <w:r w:rsidRPr="00D96F57">
        <w:rPr>
          <w:sz w:val="24"/>
          <w:szCs w:val="24"/>
        </w:rPr>
        <w:t xml:space="preserve">nder </w:t>
      </w:r>
      <w:r w:rsidR="00B854E9" w:rsidRPr="00D96F57">
        <w:rPr>
          <w:sz w:val="24"/>
          <w:szCs w:val="24"/>
        </w:rPr>
        <w:t xml:space="preserve">which </w:t>
      </w:r>
      <w:r w:rsidRPr="00D96F57">
        <w:rPr>
          <w:sz w:val="24"/>
          <w:szCs w:val="24"/>
        </w:rPr>
        <w:t>private</w:t>
      </w:r>
      <w:r w:rsidR="00126C6C" w:rsidRPr="00D96F57">
        <w:rPr>
          <w:sz w:val="24"/>
          <w:szCs w:val="24"/>
        </w:rPr>
        <w:t xml:space="preserve"> provider</w:t>
      </w:r>
      <w:r w:rsidRPr="00D96F57">
        <w:rPr>
          <w:sz w:val="24"/>
          <w:szCs w:val="24"/>
        </w:rPr>
        <w:t xml:space="preserve"> companies </w:t>
      </w:r>
      <w:r w:rsidR="00B854E9" w:rsidRPr="00D96F57">
        <w:rPr>
          <w:sz w:val="24"/>
          <w:szCs w:val="24"/>
        </w:rPr>
        <w:t xml:space="preserve">may </w:t>
      </w:r>
      <w:r w:rsidRPr="00D96F57">
        <w:rPr>
          <w:sz w:val="24"/>
          <w:szCs w:val="24"/>
        </w:rPr>
        <w:t>be able to extend their contracts or even be awarded new contracts without competition</w:t>
      </w:r>
      <w:r w:rsidR="000047B7" w:rsidRPr="00D96F57">
        <w:rPr>
          <w:sz w:val="24"/>
          <w:szCs w:val="24"/>
        </w:rPr>
        <w:t>.</w:t>
      </w:r>
      <w:r w:rsidRPr="00D96F57">
        <w:rPr>
          <w:sz w:val="24"/>
          <w:szCs w:val="24"/>
        </w:rPr>
        <w:t xml:space="preserve"> </w:t>
      </w:r>
      <w:r w:rsidR="000047B7" w:rsidRPr="00D96F57">
        <w:rPr>
          <w:sz w:val="24"/>
          <w:szCs w:val="24"/>
        </w:rPr>
        <w:t>This,</w:t>
      </w:r>
      <w:r w:rsidR="001A320E" w:rsidRPr="00D96F57">
        <w:rPr>
          <w:sz w:val="24"/>
          <w:szCs w:val="24"/>
        </w:rPr>
        <w:t xml:space="preserve"> along</w:t>
      </w:r>
      <w:r w:rsidRPr="00D96F57">
        <w:rPr>
          <w:sz w:val="24"/>
          <w:szCs w:val="24"/>
        </w:rPr>
        <w:t xml:space="preserve"> with less opportunity </w:t>
      </w:r>
      <w:r w:rsidR="00795C5C" w:rsidRPr="00D96F57">
        <w:rPr>
          <w:sz w:val="24"/>
          <w:szCs w:val="24"/>
        </w:rPr>
        <w:t xml:space="preserve">for contracts </w:t>
      </w:r>
      <w:r w:rsidRPr="00D96F57">
        <w:rPr>
          <w:sz w:val="24"/>
          <w:szCs w:val="24"/>
        </w:rPr>
        <w:t xml:space="preserve">to </w:t>
      </w:r>
      <w:r w:rsidR="00DB6005" w:rsidRPr="00D96F57">
        <w:rPr>
          <w:sz w:val="24"/>
          <w:szCs w:val="24"/>
        </w:rPr>
        <w:t xml:space="preserve">be </w:t>
      </w:r>
      <w:r w:rsidRPr="00D96F57">
        <w:rPr>
          <w:sz w:val="24"/>
          <w:szCs w:val="24"/>
        </w:rPr>
        <w:t>contest</w:t>
      </w:r>
      <w:r w:rsidR="00DB6005" w:rsidRPr="00D96F57">
        <w:rPr>
          <w:sz w:val="24"/>
          <w:szCs w:val="24"/>
        </w:rPr>
        <w:t>ed</w:t>
      </w:r>
      <w:r w:rsidRPr="00D96F57">
        <w:rPr>
          <w:sz w:val="24"/>
          <w:szCs w:val="24"/>
        </w:rPr>
        <w:t xml:space="preserve"> or scrutinise</w:t>
      </w:r>
      <w:r w:rsidR="00DB6005" w:rsidRPr="00D96F57">
        <w:rPr>
          <w:sz w:val="24"/>
          <w:szCs w:val="24"/>
        </w:rPr>
        <w:t>d</w:t>
      </w:r>
      <w:r w:rsidRPr="00D96F57">
        <w:rPr>
          <w:sz w:val="24"/>
          <w:szCs w:val="24"/>
        </w:rPr>
        <w:t xml:space="preserve"> </w:t>
      </w:r>
      <w:r w:rsidRPr="00D96F57">
        <w:rPr>
          <w:color w:val="1A1A1A" w:themeColor="background1" w:themeShade="1A"/>
          <w:sz w:val="24"/>
          <w:szCs w:val="24"/>
        </w:rPr>
        <w:t>(</w:t>
      </w:r>
      <w:r w:rsidRPr="00D96F57">
        <w:rPr>
          <w:sz w:val="24"/>
          <w:szCs w:val="24"/>
        </w:rPr>
        <w:t>only 4-6 weeks from announcement of intention to completion</w:t>
      </w:r>
      <w:r w:rsidRPr="00D96F57">
        <w:rPr>
          <w:color w:val="1A1A1A" w:themeColor="background1" w:themeShade="1A"/>
          <w:sz w:val="24"/>
          <w:szCs w:val="24"/>
        </w:rPr>
        <w:t>)</w:t>
      </w:r>
      <w:r w:rsidRPr="00D96F57">
        <w:rPr>
          <w:sz w:val="24"/>
          <w:szCs w:val="24"/>
        </w:rPr>
        <w:t xml:space="preserve"> and </w:t>
      </w:r>
      <w:r w:rsidR="00F30CD5" w:rsidRPr="00D96F57">
        <w:rPr>
          <w:sz w:val="24"/>
          <w:szCs w:val="24"/>
        </w:rPr>
        <w:t>with</w:t>
      </w:r>
      <w:r w:rsidRPr="00D96F57">
        <w:rPr>
          <w:sz w:val="24"/>
          <w:szCs w:val="24"/>
        </w:rPr>
        <w:t xml:space="preserve"> </w:t>
      </w:r>
      <w:r w:rsidRPr="00D96F57">
        <w:rPr>
          <w:color w:val="1A1A1A" w:themeColor="background1" w:themeShade="1A"/>
          <w:sz w:val="24"/>
          <w:szCs w:val="24"/>
        </w:rPr>
        <w:t>contest</w:t>
      </w:r>
      <w:r w:rsidR="005A321B" w:rsidRPr="00D96F57">
        <w:rPr>
          <w:sz w:val="24"/>
          <w:szCs w:val="24"/>
        </w:rPr>
        <w:t xml:space="preserve"> </w:t>
      </w:r>
      <w:r w:rsidRPr="00D96F57">
        <w:rPr>
          <w:sz w:val="24"/>
          <w:szCs w:val="24"/>
        </w:rPr>
        <w:t>only</w:t>
      </w:r>
      <w:r w:rsidR="00115CD1" w:rsidRPr="00D96F57">
        <w:rPr>
          <w:sz w:val="24"/>
          <w:szCs w:val="24"/>
        </w:rPr>
        <w:t xml:space="preserve"> </w:t>
      </w:r>
      <w:r w:rsidR="0035525B" w:rsidRPr="00D96F57">
        <w:rPr>
          <w:sz w:val="24"/>
          <w:szCs w:val="24"/>
        </w:rPr>
        <w:t xml:space="preserve">being </w:t>
      </w:r>
      <w:r w:rsidR="00115CD1" w:rsidRPr="00D96F57">
        <w:rPr>
          <w:sz w:val="24"/>
          <w:szCs w:val="24"/>
        </w:rPr>
        <w:t xml:space="preserve">allowed </w:t>
      </w:r>
      <w:r w:rsidRPr="00D96F57">
        <w:rPr>
          <w:sz w:val="24"/>
          <w:szCs w:val="24"/>
        </w:rPr>
        <w:t>based on issues with the stated regime criteria</w:t>
      </w:r>
      <w:r w:rsidRPr="00D96F57">
        <w:rPr>
          <w:sz w:val="24"/>
          <w:szCs w:val="24"/>
          <w:vertAlign w:val="superscript"/>
        </w:rPr>
        <w:footnoteReference w:id="13"/>
      </w:r>
      <w:r w:rsidR="0035525B" w:rsidRPr="00D96F57">
        <w:rPr>
          <w:sz w:val="24"/>
          <w:szCs w:val="24"/>
        </w:rPr>
        <w:t xml:space="preserve">, makes it much easier for private companies </w:t>
      </w:r>
      <w:r w:rsidR="000D3049" w:rsidRPr="00D96F57">
        <w:rPr>
          <w:sz w:val="24"/>
          <w:szCs w:val="24"/>
        </w:rPr>
        <w:t xml:space="preserve">to gain contracts. </w:t>
      </w:r>
      <w:r w:rsidRPr="00D96F57">
        <w:rPr>
          <w:sz w:val="24"/>
          <w:szCs w:val="24"/>
        </w:rPr>
        <w:t>Judicial Review may be the only way to challenge the lawfulness of any decision.</w:t>
      </w:r>
    </w:p>
    <w:p w14:paraId="1AE82652" w14:textId="77777777" w:rsidR="00D400C5" w:rsidRPr="00D96F57" w:rsidRDefault="00D400C5" w:rsidP="00D400C5">
      <w:pPr>
        <w:rPr>
          <w:sz w:val="24"/>
          <w:szCs w:val="24"/>
        </w:rPr>
      </w:pPr>
    </w:p>
    <w:p w14:paraId="5712D0E2" w14:textId="77777777" w:rsidR="00D400C5" w:rsidRPr="00D96F57" w:rsidRDefault="00D400C5" w:rsidP="00D400C5">
      <w:pPr>
        <w:rPr>
          <w:b/>
          <w:bCs/>
          <w:sz w:val="24"/>
          <w:szCs w:val="24"/>
        </w:rPr>
      </w:pPr>
      <w:r w:rsidRPr="00D96F57">
        <w:rPr>
          <w:b/>
          <w:bCs/>
          <w:sz w:val="24"/>
          <w:szCs w:val="24"/>
        </w:rPr>
        <w:t>The absence of a statutory duty to provide secondary medical services and the creation of ‘sustainable’ healthcare.</w:t>
      </w:r>
      <w:r w:rsidR="00B854E9" w:rsidRPr="00D96F57">
        <w:rPr>
          <w:b/>
          <w:bCs/>
          <w:sz w:val="24"/>
          <w:szCs w:val="24"/>
        </w:rPr>
        <w:t xml:space="preserve"> </w:t>
      </w:r>
    </w:p>
    <w:p w14:paraId="07E457AE" w14:textId="77777777" w:rsidR="00D400C5" w:rsidRPr="00D96F57" w:rsidRDefault="00D400C5" w:rsidP="00D400C5">
      <w:pPr>
        <w:ind w:left="720"/>
        <w:contextualSpacing/>
        <w:rPr>
          <w:sz w:val="24"/>
          <w:szCs w:val="24"/>
        </w:rPr>
      </w:pPr>
    </w:p>
    <w:p w14:paraId="5E045F10" w14:textId="77777777" w:rsidR="007E3AB5" w:rsidRPr="00D96F57" w:rsidRDefault="00D400C5" w:rsidP="002000EF">
      <w:pPr>
        <w:numPr>
          <w:ilvl w:val="0"/>
          <w:numId w:val="2"/>
        </w:numPr>
        <w:contextualSpacing/>
        <w:rPr>
          <w:sz w:val="24"/>
          <w:szCs w:val="24"/>
        </w:rPr>
      </w:pPr>
      <w:r w:rsidRPr="00D96F57">
        <w:rPr>
          <w:sz w:val="24"/>
          <w:szCs w:val="24"/>
        </w:rPr>
        <w:t xml:space="preserve">There will be no statutory duty on </w:t>
      </w:r>
      <w:proofErr w:type="spellStart"/>
      <w:r w:rsidRPr="00D96F57">
        <w:rPr>
          <w:sz w:val="24"/>
          <w:szCs w:val="24"/>
        </w:rPr>
        <w:t>any body</w:t>
      </w:r>
      <w:proofErr w:type="spellEnd"/>
      <w:r w:rsidRPr="00D96F57">
        <w:rPr>
          <w:sz w:val="24"/>
          <w:szCs w:val="24"/>
        </w:rPr>
        <w:t xml:space="preserve"> to arrange the provision of secondary (i.e. hospital) medical services. The government had a qualified legal duty to provide hospital medical services ‘throughout England’ from 1946 until 2012. Under the H&amp;SC Act 2012, this duty was repealed and clinical commissioning groups (CCGs) were given a duty to arrange provision of medical, and other key services and facilities (</w:t>
      </w:r>
      <w:r w:rsidRPr="00D96F57">
        <w:rPr>
          <w:color w:val="1A1A1A" w:themeColor="background1" w:themeShade="1A"/>
          <w:sz w:val="24"/>
          <w:szCs w:val="24"/>
        </w:rPr>
        <w:t>under s.3 of the 2006 NHS Act</w:t>
      </w:r>
      <w:r w:rsidRPr="00D96F57">
        <w:rPr>
          <w:sz w:val="24"/>
          <w:szCs w:val="24"/>
        </w:rPr>
        <w:t xml:space="preserve">). This duty will now pass to 42 ICBs, </w:t>
      </w:r>
      <w:r w:rsidRPr="00D96F57">
        <w:rPr>
          <w:b/>
          <w:bCs/>
          <w:sz w:val="24"/>
          <w:szCs w:val="24"/>
        </w:rPr>
        <w:t>but excluding medical services</w:t>
      </w:r>
      <w:r w:rsidRPr="00D96F57">
        <w:rPr>
          <w:sz w:val="24"/>
          <w:szCs w:val="24"/>
        </w:rPr>
        <w:t xml:space="preserve">. The reasons for this are not given. If enacted, </w:t>
      </w:r>
      <w:r w:rsidRPr="00D96F57">
        <w:rPr>
          <w:color w:val="1A1A1A" w:themeColor="background1" w:themeShade="1A"/>
          <w:sz w:val="24"/>
          <w:szCs w:val="24"/>
        </w:rPr>
        <w:t>an ICB will be under no obligation to arrange such services.</w:t>
      </w:r>
      <w:r w:rsidRPr="00D96F57">
        <w:rPr>
          <w:sz w:val="24"/>
          <w:szCs w:val="24"/>
        </w:rPr>
        <w:t xml:space="preserve"> This is particularly concerning in the light of the new payment rules (see above) allowing categories of services not to be paid for. The possibility that has always existed for patients to</w:t>
      </w:r>
      <w:r w:rsidR="00651AFF" w:rsidRPr="00D96F57">
        <w:rPr>
          <w:sz w:val="24"/>
          <w:szCs w:val="24"/>
        </w:rPr>
        <w:t xml:space="preserve"> </w:t>
      </w:r>
      <w:r w:rsidRPr="00D96F57">
        <w:rPr>
          <w:sz w:val="24"/>
          <w:szCs w:val="24"/>
        </w:rPr>
        <w:t xml:space="preserve">challenge </w:t>
      </w:r>
      <w:r w:rsidR="00AD4A80" w:rsidRPr="00D96F57">
        <w:rPr>
          <w:sz w:val="24"/>
          <w:szCs w:val="24"/>
        </w:rPr>
        <w:t xml:space="preserve">legally </w:t>
      </w:r>
      <w:r w:rsidRPr="00D96F57">
        <w:rPr>
          <w:sz w:val="24"/>
          <w:szCs w:val="24"/>
        </w:rPr>
        <w:t>the non-provision of NHS services will be significantly reduced.</w:t>
      </w:r>
    </w:p>
    <w:p w14:paraId="68BFD322" w14:textId="77777777" w:rsidR="007E3AB5" w:rsidRPr="00D96F57" w:rsidRDefault="007E3AB5" w:rsidP="007E3AB5">
      <w:pPr>
        <w:ind w:left="720"/>
        <w:contextualSpacing/>
        <w:rPr>
          <w:sz w:val="24"/>
          <w:szCs w:val="24"/>
        </w:rPr>
      </w:pPr>
    </w:p>
    <w:p w14:paraId="2213B5E4" w14:textId="77777777" w:rsidR="007A3429" w:rsidRPr="00D96F57" w:rsidRDefault="00D400C5" w:rsidP="007105D6">
      <w:pPr>
        <w:numPr>
          <w:ilvl w:val="0"/>
          <w:numId w:val="2"/>
        </w:numPr>
        <w:contextualSpacing/>
        <w:rPr>
          <w:sz w:val="24"/>
          <w:szCs w:val="24"/>
        </w:rPr>
      </w:pPr>
      <w:r w:rsidRPr="00D96F57">
        <w:rPr>
          <w:sz w:val="24"/>
          <w:szCs w:val="24"/>
        </w:rPr>
        <w:t>The systems are expected to meet their local needs and reduce spend by innovating and developing ‘new models of care’</w:t>
      </w:r>
      <w:r w:rsidR="006F29E7" w:rsidRPr="00D96F57">
        <w:rPr>
          <w:rStyle w:val="FootnoteReference"/>
          <w:sz w:val="24"/>
          <w:szCs w:val="24"/>
        </w:rPr>
        <w:footnoteReference w:id="14"/>
      </w:r>
      <w:r w:rsidR="00A52898" w:rsidRPr="00D96F57">
        <w:rPr>
          <w:sz w:val="24"/>
          <w:szCs w:val="24"/>
        </w:rPr>
        <w:t>.</w:t>
      </w:r>
      <w:r w:rsidR="00F113C6" w:rsidRPr="00D96F57">
        <w:rPr>
          <w:sz w:val="24"/>
          <w:szCs w:val="24"/>
        </w:rPr>
        <w:t xml:space="preserve"> </w:t>
      </w:r>
      <w:r w:rsidR="009C2020" w:rsidRPr="00D96F57">
        <w:rPr>
          <w:sz w:val="24"/>
          <w:szCs w:val="24"/>
        </w:rPr>
        <w:t>The</w:t>
      </w:r>
      <w:r w:rsidRPr="00D96F57">
        <w:rPr>
          <w:sz w:val="24"/>
          <w:szCs w:val="24"/>
        </w:rPr>
        <w:t xml:space="preserve"> absence of </w:t>
      </w:r>
      <w:r w:rsidR="00180458" w:rsidRPr="00D96F57">
        <w:rPr>
          <w:sz w:val="24"/>
          <w:szCs w:val="24"/>
        </w:rPr>
        <w:t xml:space="preserve">any </w:t>
      </w:r>
      <w:r w:rsidRPr="00D96F57">
        <w:rPr>
          <w:sz w:val="24"/>
          <w:szCs w:val="24"/>
        </w:rPr>
        <w:t>legal duty</w:t>
      </w:r>
      <w:r w:rsidR="00180458" w:rsidRPr="00D96F57">
        <w:rPr>
          <w:sz w:val="24"/>
          <w:szCs w:val="24"/>
        </w:rPr>
        <w:t xml:space="preserve"> to provide medical services</w:t>
      </w:r>
      <w:r w:rsidR="002A40BE" w:rsidRPr="00D96F57">
        <w:rPr>
          <w:sz w:val="24"/>
          <w:szCs w:val="24"/>
        </w:rPr>
        <w:t xml:space="preserve"> creates a </w:t>
      </w:r>
      <w:r w:rsidR="007932A2" w:rsidRPr="00D96F57">
        <w:rPr>
          <w:sz w:val="24"/>
          <w:szCs w:val="24"/>
        </w:rPr>
        <w:t xml:space="preserve">new </w:t>
      </w:r>
      <w:r w:rsidR="009514C2" w:rsidRPr="00D96F57">
        <w:rPr>
          <w:sz w:val="24"/>
          <w:szCs w:val="24"/>
        </w:rPr>
        <w:t>‘</w:t>
      </w:r>
      <w:r w:rsidR="002A40BE" w:rsidRPr="00D96F57">
        <w:rPr>
          <w:sz w:val="24"/>
          <w:szCs w:val="24"/>
        </w:rPr>
        <w:t>freedom</w:t>
      </w:r>
      <w:r w:rsidR="009514C2" w:rsidRPr="00D96F57">
        <w:rPr>
          <w:sz w:val="24"/>
          <w:szCs w:val="24"/>
        </w:rPr>
        <w:t>’</w:t>
      </w:r>
      <w:r w:rsidR="002A40BE" w:rsidRPr="00D96F57">
        <w:rPr>
          <w:sz w:val="24"/>
          <w:szCs w:val="24"/>
        </w:rPr>
        <w:t xml:space="preserve"> for systems to provide</w:t>
      </w:r>
      <w:r w:rsidR="00CE34D3" w:rsidRPr="00D96F57">
        <w:rPr>
          <w:sz w:val="24"/>
          <w:szCs w:val="24"/>
        </w:rPr>
        <w:t xml:space="preserve"> </w:t>
      </w:r>
      <w:r w:rsidR="002A40BE" w:rsidRPr="00D96F57">
        <w:rPr>
          <w:sz w:val="24"/>
          <w:szCs w:val="24"/>
        </w:rPr>
        <w:t xml:space="preserve">alternatives </w:t>
      </w:r>
      <w:r w:rsidR="00ED0764" w:rsidRPr="00D96F57">
        <w:rPr>
          <w:sz w:val="24"/>
          <w:szCs w:val="24"/>
        </w:rPr>
        <w:t xml:space="preserve">to </w:t>
      </w:r>
      <w:r w:rsidRPr="00D96F57">
        <w:rPr>
          <w:sz w:val="24"/>
          <w:szCs w:val="24"/>
        </w:rPr>
        <w:lastRenderedPageBreak/>
        <w:t xml:space="preserve">replace, </w:t>
      </w:r>
      <w:r w:rsidR="00FB5A6A" w:rsidRPr="00D96F57">
        <w:rPr>
          <w:sz w:val="24"/>
          <w:szCs w:val="24"/>
        </w:rPr>
        <w:t xml:space="preserve">and also </w:t>
      </w:r>
      <w:r w:rsidRPr="00D96F57">
        <w:rPr>
          <w:sz w:val="24"/>
          <w:szCs w:val="24"/>
        </w:rPr>
        <w:t>delay or deny the need for elective secondary care</w:t>
      </w:r>
      <w:r w:rsidR="004A2F73" w:rsidRPr="00D96F57">
        <w:rPr>
          <w:sz w:val="24"/>
          <w:szCs w:val="24"/>
        </w:rPr>
        <w:t>.</w:t>
      </w:r>
      <w:r w:rsidR="001C5E24" w:rsidRPr="00D96F57">
        <w:rPr>
          <w:sz w:val="24"/>
          <w:szCs w:val="24"/>
        </w:rPr>
        <w:t xml:space="preserve"> </w:t>
      </w:r>
      <w:r w:rsidRPr="00D96F57">
        <w:rPr>
          <w:sz w:val="24"/>
          <w:szCs w:val="24"/>
        </w:rPr>
        <w:t xml:space="preserve">There is no robust evidence that </w:t>
      </w:r>
      <w:r w:rsidR="005C1678" w:rsidRPr="00D96F57">
        <w:rPr>
          <w:sz w:val="24"/>
          <w:szCs w:val="24"/>
        </w:rPr>
        <w:t xml:space="preserve">the </w:t>
      </w:r>
      <w:r w:rsidRPr="00D96F57">
        <w:rPr>
          <w:sz w:val="24"/>
          <w:szCs w:val="24"/>
        </w:rPr>
        <w:t>models</w:t>
      </w:r>
      <w:r w:rsidR="00EB0C1A" w:rsidRPr="00D96F57">
        <w:rPr>
          <w:sz w:val="24"/>
          <w:szCs w:val="24"/>
        </w:rPr>
        <w:t>,</w:t>
      </w:r>
      <w:r w:rsidR="00B854E9" w:rsidRPr="00D96F57">
        <w:rPr>
          <w:sz w:val="24"/>
          <w:szCs w:val="24"/>
        </w:rPr>
        <w:t xml:space="preserve"> developed and trialled</w:t>
      </w:r>
      <w:r w:rsidR="00A3586A" w:rsidRPr="00D96F57">
        <w:rPr>
          <w:sz w:val="24"/>
          <w:szCs w:val="24"/>
        </w:rPr>
        <w:t xml:space="preserve"> to prevent referral</w:t>
      </w:r>
      <w:r w:rsidR="00837DDE" w:rsidRPr="00D96F57">
        <w:rPr>
          <w:sz w:val="24"/>
          <w:szCs w:val="24"/>
        </w:rPr>
        <w:t>,</w:t>
      </w:r>
      <w:r w:rsidR="00B854E9" w:rsidRPr="00D96F57">
        <w:rPr>
          <w:sz w:val="24"/>
          <w:szCs w:val="24"/>
        </w:rPr>
        <w:t xml:space="preserve"> </w:t>
      </w:r>
      <w:r w:rsidRPr="00D96F57">
        <w:rPr>
          <w:sz w:val="24"/>
          <w:szCs w:val="24"/>
        </w:rPr>
        <w:t xml:space="preserve">work in terms of </w:t>
      </w:r>
      <w:r w:rsidR="008F1190">
        <w:rPr>
          <w:sz w:val="24"/>
          <w:szCs w:val="24"/>
        </w:rPr>
        <w:t xml:space="preserve">improving </w:t>
      </w:r>
      <w:r w:rsidRPr="00D96F57">
        <w:rPr>
          <w:sz w:val="24"/>
          <w:szCs w:val="24"/>
        </w:rPr>
        <w:t>outcomes or saving money.</w:t>
      </w:r>
      <w:r w:rsidRPr="00D96F57">
        <w:rPr>
          <w:sz w:val="24"/>
          <w:szCs w:val="24"/>
          <w:vertAlign w:val="superscript"/>
        </w:rPr>
        <w:footnoteReference w:id="15"/>
      </w:r>
      <w:r w:rsidRPr="00D96F57">
        <w:rPr>
          <w:sz w:val="24"/>
          <w:szCs w:val="24"/>
        </w:rPr>
        <w:t xml:space="preserve"> </w:t>
      </w:r>
      <w:r w:rsidR="008F5375" w:rsidRPr="00D96F57">
        <w:rPr>
          <w:sz w:val="24"/>
          <w:szCs w:val="24"/>
        </w:rPr>
        <w:t>Rationin</w:t>
      </w:r>
      <w:r w:rsidR="00D946FC" w:rsidRPr="00D96F57">
        <w:rPr>
          <w:sz w:val="24"/>
          <w:szCs w:val="24"/>
        </w:rPr>
        <w:t>g</w:t>
      </w:r>
      <w:r w:rsidR="00815D89" w:rsidRPr="00D96F57">
        <w:rPr>
          <w:rStyle w:val="FootnoteReference"/>
          <w:sz w:val="24"/>
          <w:szCs w:val="24"/>
        </w:rPr>
        <w:footnoteReference w:id="16"/>
      </w:r>
      <w:r w:rsidR="002C2E6F" w:rsidRPr="00D96F57">
        <w:rPr>
          <w:sz w:val="24"/>
          <w:szCs w:val="24"/>
        </w:rPr>
        <w:t xml:space="preserve"> and refusal </w:t>
      </w:r>
      <w:r w:rsidR="00477BAB" w:rsidRPr="00D96F57">
        <w:rPr>
          <w:sz w:val="24"/>
          <w:szCs w:val="24"/>
        </w:rPr>
        <w:t xml:space="preserve">to </w:t>
      </w:r>
      <w:r w:rsidR="00995503" w:rsidRPr="00D96F57">
        <w:rPr>
          <w:sz w:val="24"/>
          <w:szCs w:val="24"/>
        </w:rPr>
        <w:t xml:space="preserve">offer the ever growing list of </w:t>
      </w:r>
      <w:r w:rsidR="00AF6B10" w:rsidRPr="00D96F57">
        <w:rPr>
          <w:color w:val="1A1A1A" w:themeColor="background1" w:themeShade="1A"/>
          <w:sz w:val="24"/>
          <w:szCs w:val="24"/>
        </w:rPr>
        <w:t>Procedures of Limited Clinical Value (</w:t>
      </w:r>
      <w:proofErr w:type="spellStart"/>
      <w:r w:rsidR="00AF6B10" w:rsidRPr="00D96F57">
        <w:rPr>
          <w:color w:val="1A1A1A" w:themeColor="background1" w:themeShade="1A"/>
          <w:sz w:val="24"/>
          <w:szCs w:val="24"/>
        </w:rPr>
        <w:t>PoLCVs</w:t>
      </w:r>
      <w:proofErr w:type="spellEnd"/>
      <w:r w:rsidR="00AF6B10" w:rsidRPr="00D96F57">
        <w:rPr>
          <w:color w:val="1A1A1A" w:themeColor="background1" w:themeShade="1A"/>
          <w:sz w:val="24"/>
          <w:szCs w:val="24"/>
        </w:rPr>
        <w:t>)</w:t>
      </w:r>
      <w:r w:rsidR="00AF6B10" w:rsidRPr="00D96F57">
        <w:rPr>
          <w:color w:val="1A1A1A" w:themeColor="background1" w:themeShade="1A"/>
          <w:sz w:val="24"/>
          <w:szCs w:val="24"/>
          <w:vertAlign w:val="superscript"/>
        </w:rPr>
        <w:footnoteReference w:id="17"/>
      </w:r>
      <w:r w:rsidR="00AF6B10" w:rsidRPr="00D96F57">
        <w:rPr>
          <w:color w:val="1A1A1A" w:themeColor="background1" w:themeShade="1A"/>
          <w:sz w:val="24"/>
          <w:szCs w:val="24"/>
        </w:rPr>
        <w:t xml:space="preserve"> will increase the number of people pressurised</w:t>
      </w:r>
      <w:r w:rsidR="00AF6B10" w:rsidRPr="00D96F57">
        <w:rPr>
          <w:color w:val="3366FF"/>
          <w:sz w:val="24"/>
          <w:szCs w:val="24"/>
        </w:rPr>
        <w:t xml:space="preserve"> </w:t>
      </w:r>
      <w:r w:rsidR="00AF6B10" w:rsidRPr="00D96F57">
        <w:rPr>
          <w:color w:val="1A1A1A" w:themeColor="background1" w:themeShade="1A"/>
          <w:sz w:val="24"/>
          <w:szCs w:val="24"/>
        </w:rPr>
        <w:t xml:space="preserve">to </w:t>
      </w:r>
      <w:r w:rsidR="00792B0B" w:rsidRPr="00D96F57">
        <w:rPr>
          <w:color w:val="1A1A1A" w:themeColor="background1" w:themeShade="1A"/>
          <w:sz w:val="24"/>
          <w:szCs w:val="24"/>
        </w:rPr>
        <w:t xml:space="preserve">seek </w:t>
      </w:r>
      <w:r w:rsidR="00AF6B10" w:rsidRPr="00D96F57">
        <w:rPr>
          <w:color w:val="1A1A1A" w:themeColor="background1" w:themeShade="1A"/>
          <w:sz w:val="24"/>
          <w:szCs w:val="24"/>
        </w:rPr>
        <w:t>care either private</w:t>
      </w:r>
      <w:r w:rsidR="00955FE0" w:rsidRPr="00D96F57">
        <w:rPr>
          <w:color w:val="1A1A1A" w:themeColor="background1" w:themeShade="1A"/>
          <w:sz w:val="24"/>
          <w:szCs w:val="24"/>
        </w:rPr>
        <w:t>ly</w:t>
      </w:r>
      <w:r w:rsidR="00AF6B10" w:rsidRPr="00D96F57">
        <w:rPr>
          <w:color w:val="1A1A1A" w:themeColor="background1" w:themeShade="1A"/>
          <w:sz w:val="24"/>
          <w:szCs w:val="24"/>
        </w:rPr>
        <w:t xml:space="preserve"> or as ‘NHS paying patients’</w:t>
      </w:r>
      <w:r w:rsidR="00F21B4D" w:rsidRPr="00D96F57">
        <w:rPr>
          <w:sz w:val="24"/>
          <w:szCs w:val="24"/>
        </w:rPr>
        <w:t xml:space="preserve">, </w:t>
      </w:r>
      <w:r w:rsidR="00AF6B10" w:rsidRPr="00D96F57">
        <w:rPr>
          <w:sz w:val="24"/>
          <w:szCs w:val="24"/>
        </w:rPr>
        <w:t>creat</w:t>
      </w:r>
      <w:r w:rsidR="00F21B4D" w:rsidRPr="00D96F57">
        <w:rPr>
          <w:sz w:val="24"/>
          <w:szCs w:val="24"/>
        </w:rPr>
        <w:t>ing</w:t>
      </w:r>
      <w:r w:rsidR="00AF6B10" w:rsidRPr="00D96F57">
        <w:rPr>
          <w:sz w:val="24"/>
          <w:szCs w:val="24"/>
        </w:rPr>
        <w:t xml:space="preserve"> systems with different spending priorities and ‘two-tiers’ for elective procedures</w:t>
      </w:r>
      <w:r w:rsidR="00AF6B10" w:rsidRPr="00D96F57">
        <w:rPr>
          <w:color w:val="000000" w:themeColor="text1"/>
          <w:sz w:val="24"/>
          <w:szCs w:val="24"/>
        </w:rPr>
        <w:t>.</w:t>
      </w:r>
      <w:r w:rsidR="00A846C5" w:rsidRPr="00D96F57">
        <w:rPr>
          <w:color w:val="000000" w:themeColor="text1"/>
          <w:sz w:val="24"/>
          <w:szCs w:val="24"/>
        </w:rPr>
        <w:t xml:space="preserve"> </w:t>
      </w:r>
    </w:p>
    <w:p w14:paraId="6935ACF0" w14:textId="77777777" w:rsidR="007A3429" w:rsidRPr="00D96F57" w:rsidRDefault="007A3429" w:rsidP="007A3429">
      <w:pPr>
        <w:pStyle w:val="ListParagraph"/>
        <w:rPr>
          <w:color w:val="000000" w:themeColor="text1"/>
          <w:sz w:val="24"/>
          <w:szCs w:val="24"/>
        </w:rPr>
      </w:pPr>
    </w:p>
    <w:p w14:paraId="4B386D78" w14:textId="77777777" w:rsidR="00D400C5" w:rsidRPr="00D96F57" w:rsidRDefault="00A846C5" w:rsidP="007105D6">
      <w:pPr>
        <w:numPr>
          <w:ilvl w:val="0"/>
          <w:numId w:val="2"/>
        </w:numPr>
        <w:contextualSpacing/>
        <w:rPr>
          <w:sz w:val="24"/>
          <w:szCs w:val="24"/>
        </w:rPr>
      </w:pPr>
      <w:r w:rsidRPr="00D96F57">
        <w:rPr>
          <w:color w:val="000000" w:themeColor="text1"/>
          <w:sz w:val="24"/>
          <w:szCs w:val="24"/>
        </w:rPr>
        <w:t xml:space="preserve">Also </w:t>
      </w:r>
      <w:r w:rsidRPr="00D96F57">
        <w:rPr>
          <w:sz w:val="24"/>
          <w:szCs w:val="24"/>
        </w:rPr>
        <w:t>the</w:t>
      </w:r>
      <w:r w:rsidR="00F06947" w:rsidRPr="00D96F57">
        <w:rPr>
          <w:sz w:val="24"/>
          <w:szCs w:val="24"/>
        </w:rPr>
        <w:t xml:space="preserve"> </w:t>
      </w:r>
      <w:r w:rsidR="00D400C5" w:rsidRPr="00D96F57">
        <w:rPr>
          <w:sz w:val="24"/>
          <w:szCs w:val="24"/>
        </w:rPr>
        <w:t xml:space="preserve">whole range of </w:t>
      </w:r>
      <w:r w:rsidR="00D400C5" w:rsidRPr="00D96F57">
        <w:rPr>
          <w:color w:val="1A1A1A" w:themeColor="background1" w:themeShade="1A"/>
          <w:sz w:val="24"/>
          <w:szCs w:val="24"/>
        </w:rPr>
        <w:t>‘</w:t>
      </w:r>
      <w:r w:rsidR="00793C75" w:rsidRPr="00D96F57">
        <w:rPr>
          <w:color w:val="1A1A1A" w:themeColor="background1" w:themeShade="1A"/>
          <w:sz w:val="24"/>
          <w:szCs w:val="24"/>
        </w:rPr>
        <w:t>cost-</w:t>
      </w:r>
      <w:r w:rsidR="00D400C5" w:rsidRPr="00D96F57">
        <w:rPr>
          <w:color w:val="1A1A1A" w:themeColor="background1" w:themeShade="1A"/>
          <w:sz w:val="24"/>
          <w:szCs w:val="24"/>
        </w:rPr>
        <w:t xml:space="preserve">efficiency’ </w:t>
      </w:r>
      <w:r w:rsidR="00422204" w:rsidRPr="00D96F57">
        <w:rPr>
          <w:color w:val="1A1A1A" w:themeColor="background1" w:themeShade="1A"/>
          <w:sz w:val="24"/>
          <w:szCs w:val="24"/>
        </w:rPr>
        <w:t>measures, which have already begun,</w:t>
      </w:r>
      <w:r w:rsidR="00D400C5" w:rsidRPr="00D96F57">
        <w:rPr>
          <w:sz w:val="24"/>
          <w:szCs w:val="24"/>
          <w:vertAlign w:val="superscript"/>
        </w:rPr>
        <w:footnoteReference w:id="18"/>
      </w:r>
      <w:r w:rsidR="00D400C5" w:rsidRPr="00D96F57">
        <w:rPr>
          <w:sz w:val="24"/>
          <w:szCs w:val="24"/>
        </w:rPr>
        <w:t xml:space="preserve"> </w:t>
      </w:r>
      <w:r w:rsidR="00EA5308" w:rsidRPr="00D96F57">
        <w:rPr>
          <w:sz w:val="24"/>
          <w:szCs w:val="24"/>
        </w:rPr>
        <w:t>can</w:t>
      </w:r>
      <w:r w:rsidR="00D400C5" w:rsidRPr="00D96F57">
        <w:rPr>
          <w:sz w:val="24"/>
          <w:szCs w:val="24"/>
        </w:rPr>
        <w:t xml:space="preserve"> be fully used to try to reduce secondary care costs. </w:t>
      </w:r>
      <w:r w:rsidR="00FA24CD" w:rsidRPr="00D96F57">
        <w:rPr>
          <w:sz w:val="24"/>
          <w:szCs w:val="24"/>
        </w:rPr>
        <w:t>A</w:t>
      </w:r>
      <w:r w:rsidR="000B0B86" w:rsidRPr="00D96F57">
        <w:rPr>
          <w:sz w:val="24"/>
          <w:szCs w:val="24"/>
        </w:rPr>
        <w:t>n attempt to do this</w:t>
      </w:r>
      <w:r w:rsidR="003D218F" w:rsidRPr="00D96F57">
        <w:rPr>
          <w:sz w:val="24"/>
          <w:szCs w:val="24"/>
        </w:rPr>
        <w:t xml:space="preserve"> in</w:t>
      </w:r>
      <w:r w:rsidR="00CA1A89" w:rsidRPr="00D96F57">
        <w:rPr>
          <w:sz w:val="24"/>
          <w:szCs w:val="24"/>
        </w:rPr>
        <w:t>cluded in</w:t>
      </w:r>
      <w:r w:rsidR="003D218F" w:rsidRPr="00D96F57">
        <w:rPr>
          <w:sz w:val="24"/>
          <w:szCs w:val="24"/>
        </w:rPr>
        <w:t xml:space="preserve"> the Bill</w:t>
      </w:r>
      <w:r w:rsidR="006949DA" w:rsidRPr="00D96F57">
        <w:rPr>
          <w:sz w:val="24"/>
          <w:szCs w:val="24"/>
        </w:rPr>
        <w:t xml:space="preserve"> is</w:t>
      </w:r>
      <w:r w:rsidR="008940BC" w:rsidRPr="00D96F57">
        <w:rPr>
          <w:sz w:val="24"/>
          <w:szCs w:val="24"/>
        </w:rPr>
        <w:t xml:space="preserve"> ‘discharge to assess’</w:t>
      </w:r>
      <w:r w:rsidR="008940BC" w:rsidRPr="00D96F57">
        <w:rPr>
          <w:rStyle w:val="FootnoteReference"/>
          <w:sz w:val="24"/>
          <w:szCs w:val="24"/>
        </w:rPr>
        <w:footnoteReference w:id="19"/>
      </w:r>
      <w:r w:rsidR="000A2136" w:rsidRPr="00D96F57">
        <w:rPr>
          <w:sz w:val="24"/>
          <w:szCs w:val="24"/>
        </w:rPr>
        <w:t xml:space="preserve"> </w:t>
      </w:r>
      <w:r w:rsidR="00A93B09" w:rsidRPr="00D96F57">
        <w:rPr>
          <w:sz w:val="24"/>
          <w:szCs w:val="24"/>
        </w:rPr>
        <w:t xml:space="preserve">developed </w:t>
      </w:r>
      <w:r w:rsidR="000A2136" w:rsidRPr="00D96F57">
        <w:rPr>
          <w:sz w:val="24"/>
          <w:szCs w:val="24"/>
        </w:rPr>
        <w:t xml:space="preserve">to clear </w:t>
      </w:r>
      <w:r w:rsidR="00A95977" w:rsidRPr="00D96F57">
        <w:rPr>
          <w:sz w:val="24"/>
          <w:szCs w:val="24"/>
        </w:rPr>
        <w:t xml:space="preserve">hospital </w:t>
      </w:r>
      <w:r w:rsidR="000A2136" w:rsidRPr="00D96F57">
        <w:rPr>
          <w:sz w:val="24"/>
          <w:szCs w:val="24"/>
        </w:rPr>
        <w:t>beds as quickly as possible</w:t>
      </w:r>
      <w:r w:rsidR="00B434A1" w:rsidRPr="00D96F57">
        <w:rPr>
          <w:sz w:val="24"/>
          <w:szCs w:val="24"/>
        </w:rPr>
        <w:t xml:space="preserve">, </w:t>
      </w:r>
      <w:r w:rsidR="00AF614E" w:rsidRPr="00D96F57">
        <w:rPr>
          <w:sz w:val="24"/>
          <w:szCs w:val="24"/>
        </w:rPr>
        <w:t xml:space="preserve">but </w:t>
      </w:r>
      <w:r w:rsidR="002F3665" w:rsidRPr="00D96F57">
        <w:rPr>
          <w:sz w:val="24"/>
          <w:szCs w:val="24"/>
        </w:rPr>
        <w:t xml:space="preserve">which has </w:t>
      </w:r>
      <w:r w:rsidR="00955653" w:rsidRPr="00D96F57">
        <w:rPr>
          <w:sz w:val="24"/>
          <w:szCs w:val="24"/>
        </w:rPr>
        <w:t xml:space="preserve">caused great concern </w:t>
      </w:r>
      <w:r w:rsidR="00CC6CD2" w:rsidRPr="00D96F57">
        <w:rPr>
          <w:sz w:val="24"/>
          <w:szCs w:val="24"/>
        </w:rPr>
        <w:t>because</w:t>
      </w:r>
      <w:r w:rsidR="00A95977" w:rsidRPr="00D96F57">
        <w:rPr>
          <w:sz w:val="24"/>
          <w:szCs w:val="24"/>
        </w:rPr>
        <w:t xml:space="preserve"> of </w:t>
      </w:r>
      <w:r w:rsidR="00840B61" w:rsidRPr="00D96F57">
        <w:rPr>
          <w:sz w:val="24"/>
          <w:szCs w:val="24"/>
        </w:rPr>
        <w:t>‘</w:t>
      </w:r>
      <w:r w:rsidR="000A2136" w:rsidRPr="00D96F57">
        <w:rPr>
          <w:sz w:val="24"/>
          <w:szCs w:val="24"/>
        </w:rPr>
        <w:t>dangerous</w:t>
      </w:r>
      <w:r w:rsidR="00840B61" w:rsidRPr="00D96F57">
        <w:rPr>
          <w:sz w:val="24"/>
          <w:szCs w:val="24"/>
        </w:rPr>
        <w:t>’</w:t>
      </w:r>
      <w:r w:rsidR="007F2228" w:rsidRPr="00D96F57">
        <w:rPr>
          <w:sz w:val="24"/>
          <w:szCs w:val="24"/>
        </w:rPr>
        <w:t xml:space="preserve"> discharge</w:t>
      </w:r>
      <w:r w:rsidR="000A2136" w:rsidRPr="00D96F57">
        <w:rPr>
          <w:sz w:val="24"/>
          <w:szCs w:val="24"/>
        </w:rPr>
        <w:t xml:space="preserve">s </w:t>
      </w:r>
      <w:r w:rsidR="00CF4FE3" w:rsidRPr="00D96F57">
        <w:rPr>
          <w:sz w:val="24"/>
          <w:szCs w:val="24"/>
        </w:rPr>
        <w:t>to depleted social services</w:t>
      </w:r>
      <w:r w:rsidR="00C92787" w:rsidRPr="00D96F57">
        <w:rPr>
          <w:rStyle w:val="FootnoteReference"/>
          <w:sz w:val="24"/>
          <w:szCs w:val="24"/>
        </w:rPr>
        <w:footnoteReference w:id="20"/>
      </w:r>
      <w:r w:rsidR="00FB5B8B" w:rsidRPr="00D96F57">
        <w:rPr>
          <w:sz w:val="24"/>
          <w:szCs w:val="24"/>
        </w:rPr>
        <w:t xml:space="preserve"> </w:t>
      </w:r>
      <w:r w:rsidR="00927C31" w:rsidRPr="00D96F57">
        <w:rPr>
          <w:sz w:val="24"/>
          <w:szCs w:val="24"/>
        </w:rPr>
        <w:t>that</w:t>
      </w:r>
      <w:r w:rsidR="00FB5B8B" w:rsidRPr="00D96F57">
        <w:rPr>
          <w:sz w:val="24"/>
          <w:szCs w:val="24"/>
        </w:rPr>
        <w:t xml:space="preserve"> may </w:t>
      </w:r>
      <w:r w:rsidR="00AF614E" w:rsidRPr="00D96F57">
        <w:rPr>
          <w:sz w:val="24"/>
          <w:szCs w:val="24"/>
        </w:rPr>
        <w:t>increase</w:t>
      </w:r>
      <w:r w:rsidR="00CF4FE3" w:rsidRPr="00D96F57">
        <w:rPr>
          <w:sz w:val="24"/>
          <w:szCs w:val="24"/>
        </w:rPr>
        <w:t xml:space="preserve"> </w:t>
      </w:r>
      <w:r w:rsidR="008B12C9" w:rsidRPr="00D96F57">
        <w:rPr>
          <w:sz w:val="24"/>
          <w:szCs w:val="24"/>
        </w:rPr>
        <w:t xml:space="preserve">if new </w:t>
      </w:r>
      <w:r w:rsidR="00E442E8" w:rsidRPr="00D96F57">
        <w:rPr>
          <w:sz w:val="24"/>
          <w:szCs w:val="24"/>
        </w:rPr>
        <w:t xml:space="preserve">‘eligibility to reside’ criteria are </w:t>
      </w:r>
      <w:r w:rsidR="00651624" w:rsidRPr="00D96F57">
        <w:rPr>
          <w:sz w:val="24"/>
          <w:szCs w:val="24"/>
        </w:rPr>
        <w:t>enforced</w:t>
      </w:r>
      <w:r w:rsidR="008940BC" w:rsidRPr="00D96F57">
        <w:rPr>
          <w:rStyle w:val="FootnoteReference"/>
          <w:sz w:val="24"/>
          <w:szCs w:val="24"/>
        </w:rPr>
        <w:footnoteReference w:id="21"/>
      </w:r>
      <w:r w:rsidR="007B777F" w:rsidRPr="00D96F57">
        <w:rPr>
          <w:sz w:val="24"/>
          <w:szCs w:val="24"/>
        </w:rPr>
        <w:t xml:space="preserve">. </w:t>
      </w:r>
    </w:p>
    <w:p w14:paraId="4ECC7F37" w14:textId="77777777" w:rsidR="00B854E9" w:rsidRPr="00D96F57" w:rsidRDefault="00B854E9" w:rsidP="00003E2B">
      <w:pPr>
        <w:rPr>
          <w:color w:val="3366FF"/>
          <w:sz w:val="24"/>
          <w:szCs w:val="24"/>
        </w:rPr>
      </w:pPr>
    </w:p>
    <w:p w14:paraId="16394D08" w14:textId="77777777" w:rsidR="00D400C5" w:rsidRPr="00D96F57" w:rsidRDefault="00D400C5" w:rsidP="00D400C5">
      <w:pPr>
        <w:rPr>
          <w:b/>
          <w:bCs/>
          <w:sz w:val="24"/>
          <w:szCs w:val="24"/>
        </w:rPr>
      </w:pPr>
      <w:r w:rsidRPr="00D96F57">
        <w:rPr>
          <w:b/>
          <w:bCs/>
          <w:sz w:val="24"/>
          <w:szCs w:val="24"/>
        </w:rPr>
        <w:t xml:space="preserve">Integrated Care Boards (ICBs) and Integrated Care Partnership committees (ICP) and the private sector. </w:t>
      </w:r>
    </w:p>
    <w:p w14:paraId="2F4CDC89" w14:textId="77777777" w:rsidR="00D400C5" w:rsidRPr="00D96F57" w:rsidRDefault="00D400C5" w:rsidP="00D400C5">
      <w:pPr>
        <w:rPr>
          <w:b/>
          <w:bCs/>
          <w:sz w:val="24"/>
          <w:szCs w:val="24"/>
        </w:rPr>
      </w:pPr>
    </w:p>
    <w:p w14:paraId="32B54930" w14:textId="77777777" w:rsidR="00D400C5" w:rsidRPr="00D96F57" w:rsidRDefault="00D400C5" w:rsidP="00D400C5">
      <w:pPr>
        <w:numPr>
          <w:ilvl w:val="0"/>
          <w:numId w:val="2"/>
        </w:numPr>
        <w:contextualSpacing/>
        <w:rPr>
          <w:sz w:val="24"/>
          <w:szCs w:val="24"/>
        </w:rPr>
      </w:pPr>
      <w:r w:rsidRPr="00D96F57">
        <w:rPr>
          <w:sz w:val="24"/>
          <w:szCs w:val="24"/>
        </w:rPr>
        <w:t xml:space="preserve">An ICB must draw up its own constitution and specify its name (Clause 13 and Schedule 2). </w:t>
      </w:r>
      <w:r w:rsidR="00DB0CB7" w:rsidRPr="00D96F57">
        <w:rPr>
          <w:sz w:val="24"/>
          <w:szCs w:val="24"/>
        </w:rPr>
        <w:t xml:space="preserve">Under </w:t>
      </w:r>
      <w:r w:rsidRPr="00D96F57">
        <w:rPr>
          <w:sz w:val="24"/>
          <w:szCs w:val="24"/>
        </w:rPr>
        <w:t xml:space="preserve">the NHS Act, the name of CCGs had </w:t>
      </w:r>
      <w:r w:rsidRPr="00D96F57">
        <w:rPr>
          <w:color w:val="1A1A1A" w:themeColor="background1" w:themeShade="1A"/>
          <w:sz w:val="24"/>
          <w:szCs w:val="24"/>
        </w:rPr>
        <w:t>to</w:t>
      </w:r>
      <w:r w:rsidRPr="00D96F57">
        <w:rPr>
          <w:color w:val="3366FF"/>
          <w:sz w:val="24"/>
          <w:szCs w:val="24"/>
        </w:rPr>
        <w:t xml:space="preserve"> </w:t>
      </w:r>
      <w:r w:rsidRPr="00D96F57">
        <w:rPr>
          <w:sz w:val="24"/>
          <w:szCs w:val="24"/>
        </w:rPr>
        <w:t>begin with ‘NHS’: for ICB’s, there are no requirements for this</w:t>
      </w:r>
      <w:r w:rsidR="00CC6CD2" w:rsidRPr="00D96F57">
        <w:rPr>
          <w:sz w:val="24"/>
          <w:szCs w:val="24"/>
        </w:rPr>
        <w:t xml:space="preserve"> </w:t>
      </w:r>
      <w:r w:rsidR="00DB0CB7" w:rsidRPr="00D96F57">
        <w:rPr>
          <w:sz w:val="24"/>
          <w:szCs w:val="24"/>
        </w:rPr>
        <w:t>-</w:t>
      </w:r>
      <w:r w:rsidR="0022026E" w:rsidRPr="00D96F57">
        <w:rPr>
          <w:color w:val="1A1A1A" w:themeColor="background1" w:themeShade="1A"/>
          <w:sz w:val="24"/>
          <w:szCs w:val="24"/>
        </w:rPr>
        <w:t xml:space="preserve"> yet another</w:t>
      </w:r>
      <w:r w:rsidRPr="00D96F57">
        <w:rPr>
          <w:color w:val="1A1A1A" w:themeColor="background1" w:themeShade="1A"/>
          <w:sz w:val="24"/>
          <w:szCs w:val="24"/>
        </w:rPr>
        <w:t xml:space="preserve"> indication that the Bill, and the ICSs it legitimises, are serving to dissolve the NHS.</w:t>
      </w:r>
      <w:r w:rsidRPr="00D96F57">
        <w:rPr>
          <w:sz w:val="24"/>
          <w:szCs w:val="24"/>
        </w:rPr>
        <w:t xml:space="preserve"> Further, an ICB constitution does not have to specify its members, and can include representatives from private companies. </w:t>
      </w:r>
    </w:p>
    <w:p w14:paraId="6FC592F9" w14:textId="77777777" w:rsidR="00D400C5" w:rsidRPr="00D96F57" w:rsidRDefault="00D400C5" w:rsidP="00D400C5">
      <w:pPr>
        <w:ind w:left="720"/>
        <w:contextualSpacing/>
        <w:rPr>
          <w:sz w:val="24"/>
          <w:szCs w:val="24"/>
        </w:rPr>
      </w:pPr>
    </w:p>
    <w:p w14:paraId="09A440D0" w14:textId="77777777" w:rsidR="00D400C5" w:rsidRPr="00D96F57" w:rsidRDefault="00D400C5" w:rsidP="00D400C5">
      <w:pPr>
        <w:numPr>
          <w:ilvl w:val="0"/>
          <w:numId w:val="2"/>
        </w:numPr>
        <w:contextualSpacing/>
        <w:rPr>
          <w:sz w:val="24"/>
          <w:szCs w:val="24"/>
        </w:rPr>
      </w:pPr>
      <w:r w:rsidRPr="00D96F57">
        <w:rPr>
          <w:sz w:val="24"/>
          <w:szCs w:val="24"/>
        </w:rPr>
        <w:t xml:space="preserve">In Schedule 2 Part 2 the ICB is pronounced as a ‘body corporate’ and as such ‘all members will have shared corporate accountability for delivery of the functions and duties’. If representatives of private companies are members of ICBs, this accountability will conflict with their other legal duties </w:t>
      </w:r>
      <w:r w:rsidRPr="00D96F57">
        <w:rPr>
          <w:color w:val="1A1A1A" w:themeColor="background1" w:themeShade="1A"/>
          <w:sz w:val="24"/>
          <w:szCs w:val="24"/>
        </w:rPr>
        <w:t>as</w:t>
      </w:r>
      <w:r w:rsidRPr="00D96F57">
        <w:rPr>
          <w:sz w:val="24"/>
          <w:szCs w:val="24"/>
        </w:rPr>
        <w:t xml:space="preserve"> company directors, in particular the duty to ‘act in the way he </w:t>
      </w:r>
      <w:r w:rsidR="00B854E9" w:rsidRPr="00D96F57">
        <w:rPr>
          <w:sz w:val="24"/>
          <w:szCs w:val="24"/>
        </w:rPr>
        <w:t xml:space="preserve">(sic) </w:t>
      </w:r>
      <w:r w:rsidRPr="00D96F57">
        <w:rPr>
          <w:sz w:val="24"/>
          <w:szCs w:val="24"/>
        </w:rPr>
        <w:t xml:space="preserve">considers, in good faith, would be most likely to promote the success of the company for the benefit of its members as a whole.’ </w:t>
      </w:r>
    </w:p>
    <w:p w14:paraId="7D5723D5" w14:textId="77777777" w:rsidR="00D400C5" w:rsidRPr="00D96F57" w:rsidRDefault="00D400C5" w:rsidP="00D400C5">
      <w:pPr>
        <w:rPr>
          <w:sz w:val="24"/>
          <w:szCs w:val="24"/>
        </w:rPr>
      </w:pPr>
    </w:p>
    <w:p w14:paraId="13068C08" w14:textId="77777777" w:rsidR="00D400C5" w:rsidRPr="00D96F57" w:rsidRDefault="00D400C5" w:rsidP="00D400C5">
      <w:pPr>
        <w:numPr>
          <w:ilvl w:val="0"/>
          <w:numId w:val="2"/>
        </w:numPr>
        <w:contextualSpacing/>
        <w:rPr>
          <w:sz w:val="24"/>
          <w:szCs w:val="24"/>
        </w:rPr>
      </w:pPr>
      <w:r w:rsidRPr="00D96F57">
        <w:rPr>
          <w:sz w:val="24"/>
          <w:szCs w:val="24"/>
        </w:rPr>
        <w:t>The constitution must specify arrangements for exercising the ICB’s functions (Schedule 2 (10)</w:t>
      </w:r>
      <w:r w:rsidR="007B5701" w:rsidRPr="00D96F57">
        <w:rPr>
          <w:sz w:val="24"/>
          <w:szCs w:val="24"/>
        </w:rPr>
        <w:t xml:space="preserve">), </w:t>
      </w:r>
      <w:r w:rsidRPr="00D96F57">
        <w:rPr>
          <w:sz w:val="24"/>
          <w:szCs w:val="24"/>
        </w:rPr>
        <w:t xml:space="preserve">and this may include </w:t>
      </w:r>
      <w:r w:rsidR="00D71BA0" w:rsidRPr="00D96F57">
        <w:rPr>
          <w:sz w:val="24"/>
          <w:szCs w:val="24"/>
        </w:rPr>
        <w:t>through the creation of</w:t>
      </w:r>
      <w:r w:rsidRPr="00D96F57">
        <w:rPr>
          <w:sz w:val="24"/>
          <w:szCs w:val="24"/>
        </w:rPr>
        <w:t xml:space="preserve"> committees and sub-committees which </w:t>
      </w:r>
      <w:r w:rsidR="00630656" w:rsidRPr="00D96F57">
        <w:rPr>
          <w:sz w:val="24"/>
          <w:szCs w:val="24"/>
        </w:rPr>
        <w:t xml:space="preserve">will </w:t>
      </w:r>
      <w:r w:rsidR="00B854E9" w:rsidRPr="00D96F57">
        <w:rPr>
          <w:sz w:val="24"/>
          <w:szCs w:val="24"/>
        </w:rPr>
        <w:t>carry out</w:t>
      </w:r>
      <w:r w:rsidRPr="00D96F57">
        <w:rPr>
          <w:sz w:val="24"/>
          <w:szCs w:val="24"/>
        </w:rPr>
        <w:t xml:space="preserve"> its functions</w:t>
      </w:r>
      <w:r w:rsidR="00CC6CD2" w:rsidRPr="00D96F57">
        <w:rPr>
          <w:sz w:val="24"/>
          <w:szCs w:val="24"/>
        </w:rPr>
        <w:t>,</w:t>
      </w:r>
      <w:r w:rsidRPr="00D96F57">
        <w:rPr>
          <w:sz w:val="24"/>
          <w:szCs w:val="24"/>
        </w:rPr>
        <w:t xml:space="preserve"> </w:t>
      </w:r>
      <w:r w:rsidR="000D7F43" w:rsidRPr="00D96F57">
        <w:rPr>
          <w:sz w:val="24"/>
          <w:szCs w:val="24"/>
        </w:rPr>
        <w:t xml:space="preserve">including </w:t>
      </w:r>
      <w:r w:rsidRPr="00D96F57">
        <w:rPr>
          <w:sz w:val="24"/>
          <w:szCs w:val="24"/>
        </w:rPr>
        <w:t>accountab</w:t>
      </w:r>
      <w:r w:rsidR="000D7F43" w:rsidRPr="00D96F57">
        <w:rPr>
          <w:sz w:val="24"/>
          <w:szCs w:val="24"/>
        </w:rPr>
        <w:t>ility</w:t>
      </w:r>
      <w:r w:rsidRPr="00D96F57">
        <w:rPr>
          <w:sz w:val="24"/>
          <w:szCs w:val="24"/>
        </w:rPr>
        <w:t xml:space="preserve"> for NHS spend and performance within the system (EN38). These </w:t>
      </w:r>
      <w:r w:rsidR="00442DAB" w:rsidRPr="00D96F57">
        <w:rPr>
          <w:sz w:val="24"/>
          <w:szCs w:val="24"/>
        </w:rPr>
        <w:t xml:space="preserve">committees </w:t>
      </w:r>
      <w:r w:rsidRPr="00D96F57">
        <w:rPr>
          <w:sz w:val="24"/>
          <w:szCs w:val="24"/>
        </w:rPr>
        <w:t xml:space="preserve">may consist entirely </w:t>
      </w:r>
      <w:r w:rsidRPr="00D96F57">
        <w:rPr>
          <w:sz w:val="24"/>
          <w:szCs w:val="24"/>
        </w:rPr>
        <w:lastRenderedPageBreak/>
        <w:t>of, or include, persons who are not members or employees of the ICB –</w:t>
      </w:r>
      <w:r w:rsidR="00CC6CD2" w:rsidRPr="00D96F57">
        <w:rPr>
          <w:sz w:val="24"/>
          <w:szCs w:val="24"/>
        </w:rPr>
        <w:t xml:space="preserve"> </w:t>
      </w:r>
      <w:r w:rsidRPr="00D96F57">
        <w:rPr>
          <w:color w:val="1A1A1A" w:themeColor="background1" w:themeShade="1A"/>
          <w:sz w:val="24"/>
          <w:szCs w:val="24"/>
        </w:rPr>
        <w:t>with the potential to include representatives from private companies.</w:t>
      </w:r>
    </w:p>
    <w:p w14:paraId="7D36C6E0" w14:textId="77777777" w:rsidR="00D400C5" w:rsidRPr="00D96F57" w:rsidRDefault="00D400C5" w:rsidP="00D400C5">
      <w:pPr>
        <w:ind w:left="720"/>
        <w:contextualSpacing/>
        <w:rPr>
          <w:sz w:val="24"/>
          <w:szCs w:val="24"/>
        </w:rPr>
      </w:pPr>
    </w:p>
    <w:p w14:paraId="39787384" w14:textId="77777777" w:rsidR="00D400C5" w:rsidRPr="00D96F57" w:rsidRDefault="00D400C5" w:rsidP="00D400C5">
      <w:pPr>
        <w:numPr>
          <w:ilvl w:val="0"/>
          <w:numId w:val="2"/>
        </w:numPr>
        <w:contextualSpacing/>
        <w:rPr>
          <w:b/>
          <w:bCs/>
          <w:i/>
          <w:color w:val="3366FF"/>
          <w:sz w:val="24"/>
          <w:szCs w:val="24"/>
        </w:rPr>
      </w:pPr>
      <w:r w:rsidRPr="00D96F57">
        <w:rPr>
          <w:sz w:val="24"/>
          <w:szCs w:val="24"/>
        </w:rPr>
        <w:t>Under Clause 20 (4) an ICP joint committee must be set up by each ICB and each responsible LA whose area coincides with</w:t>
      </w:r>
      <w:r w:rsidR="00CC6CD2" w:rsidRPr="00D96F57">
        <w:rPr>
          <w:sz w:val="24"/>
          <w:szCs w:val="24"/>
        </w:rPr>
        <w:t>,</w:t>
      </w:r>
      <w:r w:rsidRPr="00D96F57">
        <w:rPr>
          <w:sz w:val="24"/>
          <w:szCs w:val="24"/>
        </w:rPr>
        <w:t xml:space="preserve"> or falls partly within</w:t>
      </w:r>
      <w:r w:rsidR="00CC6CD2" w:rsidRPr="00D96F57">
        <w:rPr>
          <w:sz w:val="24"/>
          <w:szCs w:val="24"/>
        </w:rPr>
        <w:t>,</w:t>
      </w:r>
      <w:r w:rsidRPr="00D96F57">
        <w:rPr>
          <w:sz w:val="24"/>
          <w:szCs w:val="24"/>
        </w:rPr>
        <w:t xml:space="preserve"> the ICB area (new section 116ZA). The ICP committee will have one member appointed by the ICB, one by each LA, and others appointed by the ICP. It will bring together health, social care, public health and </w:t>
      </w:r>
      <w:r w:rsidR="00964ACD" w:rsidRPr="00D96F57">
        <w:rPr>
          <w:sz w:val="24"/>
          <w:szCs w:val="24"/>
        </w:rPr>
        <w:t xml:space="preserve">necessary </w:t>
      </w:r>
      <w:r w:rsidR="000B7C70" w:rsidRPr="00D96F57">
        <w:rPr>
          <w:sz w:val="24"/>
          <w:szCs w:val="24"/>
        </w:rPr>
        <w:t>others</w:t>
      </w:r>
      <w:r w:rsidRPr="00D96F57">
        <w:rPr>
          <w:sz w:val="24"/>
          <w:szCs w:val="24"/>
        </w:rPr>
        <w:t xml:space="preserve"> such as social care providers or housing providers</w:t>
      </w:r>
      <w:r w:rsidR="006D767F" w:rsidRPr="00D96F57">
        <w:rPr>
          <w:sz w:val="24"/>
          <w:szCs w:val="24"/>
        </w:rPr>
        <w:t xml:space="preserve"> </w:t>
      </w:r>
      <w:r w:rsidRPr="00D96F57">
        <w:rPr>
          <w:sz w:val="24"/>
          <w:szCs w:val="24"/>
        </w:rPr>
        <w:t>(EN 40). Social care providers are overw</w:t>
      </w:r>
      <w:r w:rsidR="00CC6CD2" w:rsidRPr="00D96F57">
        <w:rPr>
          <w:sz w:val="24"/>
          <w:szCs w:val="24"/>
        </w:rPr>
        <w:t>helmingly private, and the open-</w:t>
      </w:r>
      <w:r w:rsidRPr="00D96F57">
        <w:rPr>
          <w:sz w:val="24"/>
          <w:szCs w:val="24"/>
        </w:rPr>
        <w:t>ended description is explicit in the Bill where</w:t>
      </w:r>
      <w:r w:rsidR="00CC6CD2" w:rsidRPr="00D96F57">
        <w:rPr>
          <w:sz w:val="24"/>
          <w:szCs w:val="24"/>
        </w:rPr>
        <w:t>,</w:t>
      </w:r>
      <w:r w:rsidRPr="00D96F57">
        <w:rPr>
          <w:sz w:val="24"/>
          <w:szCs w:val="24"/>
        </w:rPr>
        <w:t xml:space="preserve"> when appointing its members</w:t>
      </w:r>
      <w:r w:rsidR="00CC6CD2" w:rsidRPr="00D96F57">
        <w:rPr>
          <w:sz w:val="24"/>
          <w:szCs w:val="24"/>
        </w:rPr>
        <w:t>,</w:t>
      </w:r>
      <w:r w:rsidRPr="00D96F57">
        <w:rPr>
          <w:sz w:val="24"/>
          <w:szCs w:val="24"/>
        </w:rPr>
        <w:t xml:space="preserve"> ‘an ICP may determine its own procedure (including quorum)’. </w:t>
      </w:r>
    </w:p>
    <w:p w14:paraId="5CF45768" w14:textId="77777777" w:rsidR="00D400C5" w:rsidRPr="00D96F57" w:rsidRDefault="00D400C5" w:rsidP="00D400C5">
      <w:pPr>
        <w:ind w:left="720"/>
        <w:contextualSpacing/>
        <w:rPr>
          <w:sz w:val="24"/>
          <w:szCs w:val="24"/>
        </w:rPr>
      </w:pPr>
    </w:p>
    <w:p w14:paraId="24CA236C" w14:textId="77777777" w:rsidR="00D400C5" w:rsidRPr="00D96F57" w:rsidRDefault="00D400C5" w:rsidP="00D400C5">
      <w:pPr>
        <w:numPr>
          <w:ilvl w:val="0"/>
          <w:numId w:val="2"/>
        </w:numPr>
        <w:contextualSpacing/>
        <w:rPr>
          <w:sz w:val="24"/>
          <w:szCs w:val="24"/>
        </w:rPr>
      </w:pPr>
      <w:r w:rsidRPr="00D96F57">
        <w:rPr>
          <w:sz w:val="24"/>
          <w:szCs w:val="24"/>
        </w:rPr>
        <w:t xml:space="preserve">Throughout the Bill there are no details </w:t>
      </w:r>
      <w:r w:rsidR="00075F9A" w:rsidRPr="00D96F57">
        <w:rPr>
          <w:sz w:val="24"/>
          <w:szCs w:val="24"/>
        </w:rPr>
        <w:t xml:space="preserve">at all </w:t>
      </w:r>
      <w:r w:rsidRPr="00D96F57">
        <w:rPr>
          <w:sz w:val="24"/>
          <w:szCs w:val="24"/>
        </w:rPr>
        <w:t xml:space="preserve">on how the public will influence decisions of the ICB. The only reference to ICB transparency is at Schedule 2 (11) (2): ‘The constitution must also specify the arrangements to be made by the ICB for securing that there is transparency about the decisions of the board and the manner in which they are made.’ </w:t>
      </w:r>
      <w:r w:rsidRPr="00D96F57">
        <w:rPr>
          <w:color w:val="1A1A1A" w:themeColor="background1" w:themeShade="1A"/>
          <w:sz w:val="24"/>
          <w:szCs w:val="24"/>
        </w:rPr>
        <w:t>The</w:t>
      </w:r>
      <w:r w:rsidRPr="00D96F57">
        <w:rPr>
          <w:sz w:val="24"/>
          <w:szCs w:val="24"/>
        </w:rPr>
        <w:t xml:space="preserve"> Freedom of Information Act will apply (Schedule 4 (60)) but that will have </w:t>
      </w:r>
      <w:r w:rsidR="000D6DEA" w:rsidRPr="00D96F57">
        <w:rPr>
          <w:sz w:val="24"/>
          <w:szCs w:val="24"/>
        </w:rPr>
        <w:t xml:space="preserve">its </w:t>
      </w:r>
      <w:r w:rsidRPr="00D96F57">
        <w:rPr>
          <w:sz w:val="24"/>
          <w:szCs w:val="24"/>
        </w:rPr>
        <w:t>exclusions for commercial activities and legal advice.</w:t>
      </w:r>
    </w:p>
    <w:p w14:paraId="79BDBCA0" w14:textId="77777777" w:rsidR="00D400C5" w:rsidRPr="00D96F57" w:rsidRDefault="00D400C5" w:rsidP="00D400C5">
      <w:pPr>
        <w:rPr>
          <w:sz w:val="24"/>
          <w:szCs w:val="24"/>
        </w:rPr>
      </w:pPr>
    </w:p>
    <w:p w14:paraId="7EFA3085" w14:textId="77777777" w:rsidR="00D400C5" w:rsidRPr="00D96F57" w:rsidRDefault="00D400C5" w:rsidP="00D400C5">
      <w:pPr>
        <w:rPr>
          <w:b/>
          <w:bCs/>
          <w:sz w:val="24"/>
          <w:szCs w:val="24"/>
        </w:rPr>
      </w:pPr>
      <w:r w:rsidRPr="00D96F57">
        <w:rPr>
          <w:b/>
          <w:bCs/>
          <w:sz w:val="24"/>
          <w:szCs w:val="24"/>
        </w:rPr>
        <w:t>Diminished powers of Local Authorities (L</w:t>
      </w:r>
      <w:r w:rsidR="00E426B3" w:rsidRPr="00D96F57">
        <w:rPr>
          <w:b/>
          <w:bCs/>
          <w:sz w:val="24"/>
          <w:szCs w:val="24"/>
        </w:rPr>
        <w:t>As</w:t>
      </w:r>
      <w:r w:rsidRPr="00D96F57">
        <w:rPr>
          <w:b/>
          <w:bCs/>
          <w:sz w:val="24"/>
          <w:szCs w:val="24"/>
        </w:rPr>
        <w:t xml:space="preserve">) in meeting local needs and NHS </w:t>
      </w:r>
      <w:r w:rsidR="005F2230" w:rsidRPr="00D96F57">
        <w:rPr>
          <w:b/>
          <w:bCs/>
          <w:sz w:val="24"/>
          <w:szCs w:val="24"/>
        </w:rPr>
        <w:t xml:space="preserve">reconfigurations </w:t>
      </w:r>
    </w:p>
    <w:p w14:paraId="5F245BD2" w14:textId="77777777" w:rsidR="00D400C5" w:rsidRPr="00D96F57" w:rsidRDefault="00D400C5" w:rsidP="00D400C5">
      <w:pPr>
        <w:ind w:left="720"/>
        <w:contextualSpacing/>
        <w:rPr>
          <w:sz w:val="24"/>
          <w:szCs w:val="24"/>
        </w:rPr>
      </w:pPr>
    </w:p>
    <w:p w14:paraId="10E36AB9" w14:textId="77777777" w:rsidR="00D400C5" w:rsidRPr="00D96F57" w:rsidRDefault="00D400C5" w:rsidP="00D400C5">
      <w:pPr>
        <w:numPr>
          <w:ilvl w:val="0"/>
          <w:numId w:val="2"/>
        </w:numPr>
        <w:contextualSpacing/>
        <w:rPr>
          <w:i/>
          <w:color w:val="000000" w:themeColor="text1"/>
          <w:sz w:val="24"/>
          <w:szCs w:val="24"/>
        </w:rPr>
      </w:pPr>
      <w:r w:rsidRPr="00D96F57">
        <w:rPr>
          <w:sz w:val="24"/>
          <w:szCs w:val="24"/>
        </w:rPr>
        <w:t xml:space="preserve">LAs and ICBs (in their role as replacing CCGs) must undertake a joint strategic needs assessment </w:t>
      </w:r>
      <w:r w:rsidR="00B854E9" w:rsidRPr="00D96F57">
        <w:rPr>
          <w:sz w:val="24"/>
          <w:szCs w:val="24"/>
        </w:rPr>
        <w:t xml:space="preserve">(JSNA) </w:t>
      </w:r>
      <w:r w:rsidRPr="00D96F57">
        <w:rPr>
          <w:sz w:val="24"/>
          <w:szCs w:val="24"/>
        </w:rPr>
        <w:t xml:space="preserve">of the health and social care needs for each authority's area to ‘determine what will be needed in terms of the discharge of health and social care functions’ </w:t>
      </w:r>
      <w:r w:rsidRPr="00D96F57">
        <w:rPr>
          <w:sz w:val="24"/>
          <w:szCs w:val="24"/>
          <w:vertAlign w:val="superscript"/>
        </w:rPr>
        <w:footnoteReference w:id="22"/>
      </w:r>
      <w:r w:rsidRPr="00D96F57">
        <w:rPr>
          <w:sz w:val="24"/>
          <w:szCs w:val="24"/>
        </w:rPr>
        <w:t xml:space="preserve">. Under Clause 20 116ZB an ICP must </w:t>
      </w:r>
      <w:r w:rsidR="00B854E9" w:rsidRPr="00D96F57">
        <w:rPr>
          <w:sz w:val="24"/>
          <w:szCs w:val="24"/>
        </w:rPr>
        <w:t xml:space="preserve">use the JSNA to </w:t>
      </w:r>
      <w:r w:rsidRPr="00D96F57">
        <w:rPr>
          <w:sz w:val="24"/>
          <w:szCs w:val="24"/>
        </w:rPr>
        <w:t>prepare its ‘integrated care strategy’ and then send this to the ICB(s) and the LAs who</w:t>
      </w:r>
      <w:r w:rsidR="00B854E9" w:rsidRPr="00D96F57">
        <w:rPr>
          <w:sz w:val="24"/>
          <w:szCs w:val="24"/>
        </w:rPr>
        <w:t xml:space="preserve"> may</w:t>
      </w:r>
      <w:r w:rsidRPr="00D96F57">
        <w:rPr>
          <w:sz w:val="24"/>
          <w:szCs w:val="24"/>
        </w:rPr>
        <w:t xml:space="preserve"> </w:t>
      </w:r>
      <w:r w:rsidR="005E771F" w:rsidRPr="00D96F57">
        <w:rPr>
          <w:sz w:val="24"/>
          <w:szCs w:val="24"/>
        </w:rPr>
        <w:t>supplement</w:t>
      </w:r>
      <w:r w:rsidR="00B854E9" w:rsidRPr="00D96F57">
        <w:rPr>
          <w:sz w:val="24"/>
          <w:szCs w:val="24"/>
        </w:rPr>
        <w:t xml:space="preserve"> it if necessary as a</w:t>
      </w:r>
      <w:r w:rsidRPr="00D96F57">
        <w:rPr>
          <w:sz w:val="24"/>
          <w:szCs w:val="24"/>
        </w:rPr>
        <w:t xml:space="preserve"> ‘a joint local health and wellbeing strategy’</w:t>
      </w:r>
      <w:r w:rsidR="00B854E9" w:rsidRPr="00D96F57">
        <w:rPr>
          <w:sz w:val="24"/>
          <w:szCs w:val="24"/>
        </w:rPr>
        <w:t xml:space="preserve">. </w:t>
      </w:r>
      <w:r w:rsidRPr="00D96F57">
        <w:rPr>
          <w:color w:val="1A1A1A" w:themeColor="background1" w:themeShade="1A"/>
          <w:sz w:val="24"/>
          <w:szCs w:val="24"/>
        </w:rPr>
        <w:t xml:space="preserve">After all this local effort however, NHSE, </w:t>
      </w:r>
      <w:r w:rsidRPr="00D96F57">
        <w:rPr>
          <w:color w:val="000000" w:themeColor="text1"/>
          <w:sz w:val="24"/>
          <w:szCs w:val="24"/>
        </w:rPr>
        <w:t xml:space="preserve">LAs and importantly the ICB will only need to </w:t>
      </w:r>
      <w:r w:rsidR="000778A1" w:rsidRPr="00D96F57">
        <w:rPr>
          <w:color w:val="000000" w:themeColor="text1"/>
          <w:sz w:val="24"/>
          <w:szCs w:val="24"/>
        </w:rPr>
        <w:t>‘</w:t>
      </w:r>
      <w:r w:rsidRPr="00D96F57">
        <w:rPr>
          <w:color w:val="000000" w:themeColor="text1"/>
          <w:sz w:val="24"/>
          <w:szCs w:val="24"/>
        </w:rPr>
        <w:t>have reg</w:t>
      </w:r>
      <w:r w:rsidR="005E28B8" w:rsidRPr="00D96F57">
        <w:rPr>
          <w:color w:val="000000" w:themeColor="text1"/>
          <w:sz w:val="24"/>
          <w:szCs w:val="24"/>
        </w:rPr>
        <w:t>ard to</w:t>
      </w:r>
      <w:r w:rsidR="003155B4" w:rsidRPr="00D96F57">
        <w:rPr>
          <w:color w:val="000000" w:themeColor="text1"/>
          <w:sz w:val="24"/>
          <w:szCs w:val="24"/>
        </w:rPr>
        <w:t>’</w:t>
      </w:r>
      <w:r w:rsidR="005E28B8" w:rsidRPr="00D96F57">
        <w:rPr>
          <w:color w:val="000000" w:themeColor="text1"/>
          <w:sz w:val="24"/>
          <w:szCs w:val="24"/>
        </w:rPr>
        <w:t xml:space="preserve"> </w:t>
      </w:r>
      <w:r w:rsidRPr="00D96F57">
        <w:rPr>
          <w:sz w:val="24"/>
          <w:szCs w:val="24"/>
        </w:rPr>
        <w:t>the</w:t>
      </w:r>
      <w:r w:rsidR="005E28B8" w:rsidRPr="00D96F57">
        <w:rPr>
          <w:sz w:val="24"/>
          <w:szCs w:val="24"/>
        </w:rPr>
        <w:t xml:space="preserve"> strategies</w:t>
      </w:r>
      <w:r w:rsidRPr="00D96F57">
        <w:rPr>
          <w:color w:val="000000" w:themeColor="text1"/>
          <w:sz w:val="24"/>
          <w:szCs w:val="24"/>
        </w:rPr>
        <w:t xml:space="preserve"> when making decisions </w:t>
      </w:r>
      <w:r w:rsidR="00374514" w:rsidRPr="00D96F57">
        <w:rPr>
          <w:color w:val="000000" w:themeColor="text1"/>
          <w:sz w:val="24"/>
          <w:szCs w:val="24"/>
        </w:rPr>
        <w:t>‘</w:t>
      </w:r>
      <w:r w:rsidRPr="00D96F57">
        <w:rPr>
          <w:sz w:val="24"/>
          <w:szCs w:val="24"/>
        </w:rPr>
        <w:t>so far as relevant</w:t>
      </w:r>
      <w:r w:rsidR="00200179" w:rsidRPr="00D96F57">
        <w:rPr>
          <w:sz w:val="24"/>
          <w:szCs w:val="24"/>
        </w:rPr>
        <w:t>’</w:t>
      </w:r>
      <w:r w:rsidRPr="00D96F57">
        <w:rPr>
          <w:sz w:val="24"/>
          <w:szCs w:val="24"/>
          <w:vertAlign w:val="superscript"/>
        </w:rPr>
        <w:footnoteReference w:id="23"/>
      </w:r>
      <w:r w:rsidRPr="00D96F57">
        <w:rPr>
          <w:sz w:val="24"/>
          <w:szCs w:val="24"/>
        </w:rPr>
        <w:t>.</w:t>
      </w:r>
      <w:r w:rsidR="00B854E9" w:rsidRPr="00D96F57">
        <w:rPr>
          <w:i/>
          <w:color w:val="000000" w:themeColor="text1"/>
          <w:sz w:val="24"/>
          <w:szCs w:val="24"/>
        </w:rPr>
        <w:t xml:space="preserve"> </w:t>
      </w:r>
    </w:p>
    <w:p w14:paraId="7F81F01A" w14:textId="77777777" w:rsidR="00D400C5" w:rsidRPr="00D96F57" w:rsidRDefault="00D400C5" w:rsidP="00D400C5">
      <w:pPr>
        <w:ind w:left="720"/>
        <w:contextualSpacing/>
        <w:rPr>
          <w:sz w:val="24"/>
          <w:szCs w:val="24"/>
        </w:rPr>
      </w:pPr>
    </w:p>
    <w:p w14:paraId="36E51ECA" w14:textId="77777777" w:rsidR="00CC6CD2" w:rsidRPr="00D96F57" w:rsidRDefault="00D400C5" w:rsidP="00CC6CD2">
      <w:pPr>
        <w:numPr>
          <w:ilvl w:val="0"/>
          <w:numId w:val="2"/>
        </w:numPr>
        <w:contextualSpacing/>
        <w:rPr>
          <w:b/>
          <w:bCs/>
          <w:color w:val="3366FF"/>
          <w:sz w:val="24"/>
          <w:szCs w:val="24"/>
        </w:rPr>
      </w:pPr>
      <w:r w:rsidRPr="00D96F57">
        <w:rPr>
          <w:sz w:val="24"/>
          <w:szCs w:val="24"/>
        </w:rPr>
        <w:t xml:space="preserve">In Schedule 6 of the Bill, the </w:t>
      </w:r>
      <w:r w:rsidR="001463E5" w:rsidRPr="00D96F57">
        <w:rPr>
          <w:sz w:val="24"/>
          <w:szCs w:val="24"/>
        </w:rPr>
        <w:t xml:space="preserve">retained </w:t>
      </w:r>
      <w:r w:rsidRPr="00D96F57">
        <w:rPr>
          <w:sz w:val="24"/>
          <w:szCs w:val="24"/>
        </w:rPr>
        <w:t xml:space="preserve">LA powers to refer NHS reconfigurations to the Secretary of State </w:t>
      </w:r>
      <w:r w:rsidR="00CD0C1F" w:rsidRPr="00D96F57">
        <w:rPr>
          <w:sz w:val="24"/>
          <w:szCs w:val="24"/>
        </w:rPr>
        <w:t xml:space="preserve">(SoS) </w:t>
      </w:r>
      <w:r w:rsidRPr="00D96F57">
        <w:rPr>
          <w:sz w:val="24"/>
          <w:szCs w:val="24"/>
        </w:rPr>
        <w:t>could be diminished because</w:t>
      </w:r>
      <w:r w:rsidR="00C8711A" w:rsidRPr="00D96F57">
        <w:rPr>
          <w:sz w:val="24"/>
          <w:szCs w:val="24"/>
        </w:rPr>
        <w:t xml:space="preserve"> of </w:t>
      </w:r>
      <w:r w:rsidR="001107EB" w:rsidRPr="00D96F57">
        <w:rPr>
          <w:sz w:val="24"/>
          <w:szCs w:val="24"/>
        </w:rPr>
        <w:t xml:space="preserve">new powers </w:t>
      </w:r>
      <w:r w:rsidRPr="00D96F57">
        <w:rPr>
          <w:sz w:val="24"/>
          <w:szCs w:val="24"/>
        </w:rPr>
        <w:t xml:space="preserve">the SoS </w:t>
      </w:r>
      <w:r w:rsidR="001107EB" w:rsidRPr="00D96F57">
        <w:rPr>
          <w:sz w:val="24"/>
          <w:szCs w:val="24"/>
        </w:rPr>
        <w:t>has</w:t>
      </w:r>
      <w:r w:rsidRPr="00D96F57">
        <w:rPr>
          <w:sz w:val="24"/>
          <w:szCs w:val="24"/>
        </w:rPr>
        <w:t xml:space="preserve"> to initiate plans for reconfigurations, ‘call in’ plans at any time, and retake any decision made by an NHS body. </w:t>
      </w:r>
      <w:r w:rsidR="0023644D" w:rsidRPr="00D96F57">
        <w:rPr>
          <w:sz w:val="24"/>
          <w:szCs w:val="24"/>
        </w:rPr>
        <w:t xml:space="preserve">Commissioning </w:t>
      </w:r>
      <w:r w:rsidRPr="00D96F57">
        <w:rPr>
          <w:sz w:val="24"/>
          <w:szCs w:val="24"/>
        </w:rPr>
        <w:t>bodies will have a duty to report current and possible future decisions that require or may require reconfiguration</w:t>
      </w:r>
      <w:r w:rsidRPr="00D96F57">
        <w:rPr>
          <w:sz w:val="24"/>
          <w:szCs w:val="24"/>
          <w:vertAlign w:val="superscript"/>
        </w:rPr>
        <w:footnoteReference w:id="24"/>
      </w:r>
      <w:r w:rsidRPr="00D96F57">
        <w:rPr>
          <w:sz w:val="24"/>
          <w:szCs w:val="24"/>
        </w:rPr>
        <w:t xml:space="preserve">. This suggests the </w:t>
      </w:r>
      <w:r w:rsidR="001418AB" w:rsidRPr="00D96F57">
        <w:rPr>
          <w:sz w:val="24"/>
          <w:szCs w:val="24"/>
        </w:rPr>
        <w:t xml:space="preserve">possibility of </w:t>
      </w:r>
      <w:r w:rsidRPr="00D96F57">
        <w:rPr>
          <w:sz w:val="24"/>
          <w:szCs w:val="24"/>
        </w:rPr>
        <w:t>interven</w:t>
      </w:r>
      <w:r w:rsidR="00D81E2F" w:rsidRPr="00D96F57">
        <w:rPr>
          <w:sz w:val="24"/>
          <w:szCs w:val="24"/>
        </w:rPr>
        <w:t>tion</w:t>
      </w:r>
      <w:r w:rsidRPr="00D96F57">
        <w:rPr>
          <w:sz w:val="24"/>
          <w:szCs w:val="24"/>
        </w:rPr>
        <w:t xml:space="preserve"> in support of a reconfiguration before local scrutiny </w:t>
      </w:r>
      <w:r w:rsidR="009D32A0" w:rsidRPr="00D96F57">
        <w:rPr>
          <w:sz w:val="24"/>
          <w:szCs w:val="24"/>
        </w:rPr>
        <w:t>can act</w:t>
      </w:r>
      <w:r w:rsidRPr="00D96F57">
        <w:rPr>
          <w:sz w:val="24"/>
          <w:szCs w:val="24"/>
        </w:rPr>
        <w:t>, pre-empting challenge</w:t>
      </w:r>
      <w:r w:rsidR="00A73FD5" w:rsidRPr="00D96F57">
        <w:rPr>
          <w:sz w:val="24"/>
          <w:szCs w:val="24"/>
        </w:rPr>
        <w:t>s</w:t>
      </w:r>
      <w:r w:rsidRPr="00D96F57">
        <w:rPr>
          <w:sz w:val="24"/>
          <w:szCs w:val="24"/>
        </w:rPr>
        <w:t xml:space="preserve"> to plans</w:t>
      </w:r>
      <w:r w:rsidR="00B854E9" w:rsidRPr="00D96F57">
        <w:rPr>
          <w:sz w:val="24"/>
          <w:szCs w:val="24"/>
        </w:rPr>
        <w:t xml:space="preserve">, and public </w:t>
      </w:r>
      <w:r w:rsidR="00CC6CD2" w:rsidRPr="00D96F57">
        <w:rPr>
          <w:sz w:val="24"/>
          <w:szCs w:val="24"/>
        </w:rPr>
        <w:t>scrutiny</w:t>
      </w:r>
      <w:r w:rsidR="008F64E5" w:rsidRPr="00D96F57">
        <w:rPr>
          <w:sz w:val="24"/>
          <w:szCs w:val="24"/>
        </w:rPr>
        <w:t>.</w:t>
      </w:r>
      <w:r w:rsidR="00CC6CD2" w:rsidRPr="00D96F57">
        <w:rPr>
          <w:color w:val="3366FF"/>
          <w:sz w:val="24"/>
          <w:szCs w:val="24"/>
        </w:rPr>
        <w:t xml:space="preserve"> </w:t>
      </w:r>
    </w:p>
    <w:p w14:paraId="0EDB0347" w14:textId="77777777" w:rsidR="008F64E5" w:rsidRPr="00D96F57" w:rsidRDefault="008F64E5" w:rsidP="008F64E5">
      <w:pPr>
        <w:contextualSpacing/>
        <w:rPr>
          <w:b/>
          <w:bCs/>
          <w:color w:val="3366FF"/>
          <w:sz w:val="24"/>
          <w:szCs w:val="24"/>
        </w:rPr>
      </w:pPr>
    </w:p>
    <w:p w14:paraId="031970BF" w14:textId="77777777" w:rsidR="00D400C5" w:rsidRPr="00D96F57" w:rsidRDefault="00D400C5" w:rsidP="00D400C5">
      <w:pPr>
        <w:rPr>
          <w:sz w:val="24"/>
          <w:szCs w:val="24"/>
        </w:rPr>
      </w:pPr>
      <w:r w:rsidRPr="00D96F57">
        <w:rPr>
          <w:b/>
          <w:bCs/>
          <w:sz w:val="24"/>
          <w:szCs w:val="24"/>
        </w:rPr>
        <w:t>Professional deregulation</w:t>
      </w:r>
      <w:r w:rsidR="00B854E9" w:rsidRPr="00D96F57">
        <w:rPr>
          <w:b/>
          <w:bCs/>
          <w:sz w:val="24"/>
          <w:szCs w:val="24"/>
        </w:rPr>
        <w:t xml:space="preserve"> and workforce restructuring</w:t>
      </w:r>
    </w:p>
    <w:p w14:paraId="0206FA79" w14:textId="77777777" w:rsidR="00D400C5" w:rsidRPr="00D96F57" w:rsidRDefault="00D400C5" w:rsidP="00D400C5">
      <w:pPr>
        <w:rPr>
          <w:sz w:val="24"/>
          <w:szCs w:val="24"/>
        </w:rPr>
      </w:pPr>
    </w:p>
    <w:p w14:paraId="60C3B871" w14:textId="77777777" w:rsidR="00B854E9" w:rsidRPr="00D96F57" w:rsidRDefault="00B854E9" w:rsidP="002E4AD2">
      <w:pPr>
        <w:numPr>
          <w:ilvl w:val="0"/>
          <w:numId w:val="2"/>
        </w:numPr>
        <w:contextualSpacing/>
        <w:rPr>
          <w:sz w:val="24"/>
          <w:szCs w:val="24"/>
        </w:rPr>
      </w:pPr>
      <w:r w:rsidRPr="00D96F57">
        <w:rPr>
          <w:sz w:val="24"/>
          <w:szCs w:val="24"/>
        </w:rPr>
        <w:t>I</w:t>
      </w:r>
      <w:r w:rsidR="00D400C5" w:rsidRPr="00D96F57">
        <w:rPr>
          <w:sz w:val="24"/>
          <w:szCs w:val="24"/>
        </w:rPr>
        <w:t>n the NHSE’s Integrated Care Systems:</w:t>
      </w:r>
      <w:r w:rsidR="00CC6CD2" w:rsidRPr="00D96F57">
        <w:rPr>
          <w:sz w:val="24"/>
          <w:szCs w:val="24"/>
        </w:rPr>
        <w:t xml:space="preserve"> </w:t>
      </w:r>
      <w:r w:rsidR="00D400C5" w:rsidRPr="00D96F57">
        <w:rPr>
          <w:sz w:val="24"/>
          <w:szCs w:val="24"/>
        </w:rPr>
        <w:t>Design Framework</w:t>
      </w:r>
      <w:r w:rsidR="00D400C5" w:rsidRPr="00D96F57">
        <w:rPr>
          <w:sz w:val="24"/>
          <w:szCs w:val="24"/>
          <w:vertAlign w:val="superscript"/>
        </w:rPr>
        <w:footnoteReference w:id="25"/>
      </w:r>
      <w:r w:rsidR="00E82415" w:rsidRPr="00D96F57">
        <w:rPr>
          <w:sz w:val="24"/>
          <w:szCs w:val="24"/>
        </w:rPr>
        <w:t xml:space="preserve"> </w:t>
      </w:r>
      <w:r w:rsidR="0003449B" w:rsidRPr="00D96F57">
        <w:rPr>
          <w:sz w:val="24"/>
          <w:szCs w:val="24"/>
        </w:rPr>
        <w:t xml:space="preserve">it is stated that </w:t>
      </w:r>
      <w:r w:rsidR="00E82415" w:rsidRPr="00D96F57">
        <w:rPr>
          <w:sz w:val="24"/>
          <w:szCs w:val="24"/>
        </w:rPr>
        <w:t xml:space="preserve">providers </w:t>
      </w:r>
      <w:r w:rsidR="00163979" w:rsidRPr="00D96F57">
        <w:rPr>
          <w:sz w:val="24"/>
          <w:szCs w:val="24"/>
        </w:rPr>
        <w:t>are to</w:t>
      </w:r>
      <w:r w:rsidR="00E82415" w:rsidRPr="00D96F57">
        <w:rPr>
          <w:sz w:val="24"/>
          <w:szCs w:val="24"/>
        </w:rPr>
        <w:t xml:space="preserve"> ensure services are arranged in a way that is </w:t>
      </w:r>
      <w:r w:rsidR="009C4710" w:rsidRPr="00D96F57">
        <w:rPr>
          <w:sz w:val="24"/>
          <w:szCs w:val="24"/>
        </w:rPr>
        <w:t>‘</w:t>
      </w:r>
      <w:r w:rsidR="00E82415" w:rsidRPr="00D96F57">
        <w:rPr>
          <w:sz w:val="24"/>
          <w:szCs w:val="24"/>
        </w:rPr>
        <w:t xml:space="preserve">sustainable and in the </w:t>
      </w:r>
      <w:r w:rsidR="00E82415" w:rsidRPr="00D96F57">
        <w:rPr>
          <w:sz w:val="24"/>
          <w:szCs w:val="24"/>
        </w:rPr>
        <w:lastRenderedPageBreak/>
        <w:t>best interests of the population</w:t>
      </w:r>
      <w:r w:rsidR="002D1170" w:rsidRPr="00D96F57">
        <w:rPr>
          <w:sz w:val="24"/>
          <w:szCs w:val="24"/>
        </w:rPr>
        <w:t>’</w:t>
      </w:r>
      <w:r w:rsidR="00F40DFD" w:rsidRPr="00D96F57">
        <w:rPr>
          <w:sz w:val="24"/>
          <w:szCs w:val="24"/>
        </w:rPr>
        <w:t>,</w:t>
      </w:r>
      <w:r w:rsidR="000F739C" w:rsidRPr="00D96F57">
        <w:rPr>
          <w:sz w:val="24"/>
          <w:szCs w:val="24"/>
        </w:rPr>
        <w:t xml:space="preserve"> </w:t>
      </w:r>
      <w:r w:rsidR="00D400C5" w:rsidRPr="00D96F57">
        <w:rPr>
          <w:sz w:val="24"/>
          <w:szCs w:val="24"/>
        </w:rPr>
        <w:t xml:space="preserve">and </w:t>
      </w:r>
      <w:r w:rsidR="002D1170" w:rsidRPr="00D96F57">
        <w:rPr>
          <w:sz w:val="24"/>
          <w:szCs w:val="24"/>
        </w:rPr>
        <w:t xml:space="preserve">in </w:t>
      </w:r>
      <w:r w:rsidR="00D400C5" w:rsidRPr="00D96F57">
        <w:rPr>
          <w:sz w:val="24"/>
          <w:szCs w:val="24"/>
        </w:rPr>
        <w:t>the People Plan</w:t>
      </w:r>
      <w:r w:rsidR="00D400C5" w:rsidRPr="00D96F57">
        <w:rPr>
          <w:sz w:val="24"/>
          <w:szCs w:val="24"/>
          <w:vertAlign w:val="superscript"/>
        </w:rPr>
        <w:footnoteReference w:id="26"/>
      </w:r>
      <w:r w:rsidR="00D400C5" w:rsidRPr="00D96F57">
        <w:rPr>
          <w:sz w:val="24"/>
          <w:szCs w:val="24"/>
        </w:rPr>
        <w:t xml:space="preserve"> </w:t>
      </w:r>
      <w:r w:rsidR="00495BAF" w:rsidRPr="00D96F57">
        <w:rPr>
          <w:sz w:val="24"/>
          <w:szCs w:val="24"/>
        </w:rPr>
        <w:t xml:space="preserve">to achieve this </w:t>
      </w:r>
      <w:r w:rsidR="00D96EF4" w:rsidRPr="00D96F57">
        <w:rPr>
          <w:sz w:val="24"/>
          <w:szCs w:val="24"/>
        </w:rPr>
        <w:t xml:space="preserve">ICSs are </w:t>
      </w:r>
      <w:r w:rsidR="00AD6488" w:rsidRPr="00D96F57">
        <w:rPr>
          <w:sz w:val="24"/>
          <w:szCs w:val="24"/>
        </w:rPr>
        <w:t xml:space="preserve">felt </w:t>
      </w:r>
      <w:r w:rsidR="002D1170" w:rsidRPr="00D96F57">
        <w:rPr>
          <w:sz w:val="24"/>
          <w:szCs w:val="24"/>
        </w:rPr>
        <w:t xml:space="preserve">to </w:t>
      </w:r>
      <w:r w:rsidR="00D400C5" w:rsidRPr="00D96F57">
        <w:rPr>
          <w:sz w:val="24"/>
          <w:szCs w:val="24"/>
        </w:rPr>
        <w:t xml:space="preserve">require a ‘flexible’, ‘agile’ workforce able to move </w:t>
      </w:r>
      <w:r w:rsidRPr="00D96F57">
        <w:rPr>
          <w:sz w:val="24"/>
          <w:szCs w:val="24"/>
        </w:rPr>
        <w:t xml:space="preserve">rapidly </w:t>
      </w:r>
      <w:r w:rsidR="00D400C5" w:rsidRPr="00D96F57">
        <w:rPr>
          <w:sz w:val="24"/>
          <w:szCs w:val="24"/>
        </w:rPr>
        <w:t xml:space="preserve">between disciplines and </w:t>
      </w:r>
      <w:r w:rsidR="003824FD" w:rsidRPr="00D96F57">
        <w:rPr>
          <w:color w:val="1A1A1A" w:themeColor="background1" w:themeShade="1A"/>
          <w:sz w:val="24"/>
          <w:szCs w:val="24"/>
        </w:rPr>
        <w:t>providers</w:t>
      </w:r>
      <w:r w:rsidRPr="00D96F57">
        <w:rPr>
          <w:color w:val="1A1A1A" w:themeColor="background1" w:themeShade="1A"/>
          <w:sz w:val="24"/>
          <w:szCs w:val="24"/>
        </w:rPr>
        <w:t>, with staff</w:t>
      </w:r>
      <w:r w:rsidR="00D400C5" w:rsidRPr="00D96F57">
        <w:rPr>
          <w:color w:val="1A1A1A" w:themeColor="background1" w:themeShade="1A"/>
          <w:sz w:val="24"/>
          <w:szCs w:val="24"/>
        </w:rPr>
        <w:t xml:space="preserve"> </w:t>
      </w:r>
      <w:r w:rsidRPr="00D96F57">
        <w:rPr>
          <w:color w:val="1A1A1A" w:themeColor="background1" w:themeShade="1A"/>
          <w:sz w:val="24"/>
          <w:szCs w:val="24"/>
        </w:rPr>
        <w:t>potentially</w:t>
      </w:r>
      <w:r w:rsidR="00D400C5" w:rsidRPr="00D96F57">
        <w:rPr>
          <w:sz w:val="24"/>
          <w:szCs w:val="24"/>
        </w:rPr>
        <w:t xml:space="preserve"> ‘passported’ </w:t>
      </w:r>
      <w:r w:rsidR="00D400C5" w:rsidRPr="00D96F57">
        <w:rPr>
          <w:color w:val="1A1A1A" w:themeColor="background1" w:themeShade="1A"/>
          <w:sz w:val="24"/>
          <w:szCs w:val="24"/>
        </w:rPr>
        <w:t xml:space="preserve">between organisations across and beyond </w:t>
      </w:r>
      <w:r w:rsidR="001F6CEF" w:rsidRPr="00D96F57">
        <w:rPr>
          <w:color w:val="1A1A1A" w:themeColor="background1" w:themeShade="1A"/>
          <w:sz w:val="24"/>
          <w:szCs w:val="24"/>
        </w:rPr>
        <w:t>a</w:t>
      </w:r>
      <w:r w:rsidR="00D400C5" w:rsidRPr="00D96F57">
        <w:rPr>
          <w:color w:val="1A1A1A" w:themeColor="background1" w:themeShade="1A"/>
          <w:sz w:val="24"/>
          <w:szCs w:val="24"/>
        </w:rPr>
        <w:t xml:space="preserve"> system.</w:t>
      </w:r>
      <w:r w:rsidR="00D400C5" w:rsidRPr="00D96F57">
        <w:rPr>
          <w:sz w:val="24"/>
          <w:szCs w:val="24"/>
        </w:rPr>
        <w:t xml:space="preserve"> Such changes will </w:t>
      </w:r>
      <w:r w:rsidRPr="00D96F57">
        <w:rPr>
          <w:sz w:val="24"/>
          <w:szCs w:val="24"/>
        </w:rPr>
        <w:t>depend upon</w:t>
      </w:r>
      <w:r w:rsidRPr="00D96F57">
        <w:rPr>
          <w:color w:val="000000" w:themeColor="text1"/>
          <w:sz w:val="24"/>
          <w:szCs w:val="24"/>
        </w:rPr>
        <w:t xml:space="preserve"> </w:t>
      </w:r>
      <w:r w:rsidR="00315CD9" w:rsidRPr="00D96F57">
        <w:rPr>
          <w:color w:val="000000" w:themeColor="text1"/>
          <w:sz w:val="24"/>
          <w:szCs w:val="24"/>
        </w:rPr>
        <w:t xml:space="preserve">the use of </w:t>
      </w:r>
      <w:r w:rsidR="00D4224D" w:rsidRPr="00D96F57">
        <w:rPr>
          <w:color w:val="000000" w:themeColor="text1"/>
          <w:sz w:val="24"/>
          <w:szCs w:val="24"/>
        </w:rPr>
        <w:t xml:space="preserve">similar </w:t>
      </w:r>
      <w:r w:rsidR="00374F81" w:rsidRPr="00D96F57">
        <w:rPr>
          <w:color w:val="000000" w:themeColor="text1"/>
          <w:sz w:val="24"/>
          <w:szCs w:val="24"/>
        </w:rPr>
        <w:t>digital technologie</w:t>
      </w:r>
      <w:r w:rsidR="00374F81" w:rsidRPr="00D96F57">
        <w:rPr>
          <w:sz w:val="24"/>
          <w:szCs w:val="24"/>
        </w:rPr>
        <w:t>s</w:t>
      </w:r>
      <w:r w:rsidR="00315CD9" w:rsidRPr="00D96F57">
        <w:rPr>
          <w:sz w:val="24"/>
          <w:szCs w:val="24"/>
        </w:rPr>
        <w:t xml:space="preserve"> in </w:t>
      </w:r>
      <w:r w:rsidR="00D400C5" w:rsidRPr="00D96F57">
        <w:rPr>
          <w:sz w:val="24"/>
          <w:szCs w:val="24"/>
        </w:rPr>
        <w:t>clinical activities across services</w:t>
      </w:r>
      <w:r w:rsidR="00F61F8C" w:rsidRPr="00D96F57">
        <w:rPr>
          <w:sz w:val="24"/>
          <w:szCs w:val="24"/>
        </w:rPr>
        <w:t>, and while they may be cost-efficient, they</w:t>
      </w:r>
      <w:r w:rsidR="0010210A" w:rsidRPr="00D96F57">
        <w:rPr>
          <w:sz w:val="24"/>
          <w:szCs w:val="24"/>
        </w:rPr>
        <w:t xml:space="preserve"> </w:t>
      </w:r>
      <w:r w:rsidR="00A61D4A" w:rsidRPr="00D96F57">
        <w:rPr>
          <w:sz w:val="24"/>
          <w:szCs w:val="24"/>
        </w:rPr>
        <w:t>are likely</w:t>
      </w:r>
      <w:r w:rsidRPr="00D96F57">
        <w:rPr>
          <w:sz w:val="24"/>
          <w:szCs w:val="24"/>
        </w:rPr>
        <w:t xml:space="preserve"> to impact on teamwork and continuity of care, affecting the quality of patient care as well as staff morale. </w:t>
      </w:r>
      <w:r w:rsidR="00DF1CBB" w:rsidRPr="00D96F57">
        <w:rPr>
          <w:sz w:val="24"/>
          <w:szCs w:val="24"/>
        </w:rPr>
        <w:t>They</w:t>
      </w:r>
      <w:r w:rsidRPr="00D96F57">
        <w:rPr>
          <w:sz w:val="24"/>
          <w:szCs w:val="24"/>
        </w:rPr>
        <w:t xml:space="preserve"> may also place unreasonable demands on staff, given the geographical size of ICSs and extra travel involved.</w:t>
      </w:r>
    </w:p>
    <w:p w14:paraId="4F87B8A3" w14:textId="77777777" w:rsidR="00B854E9" w:rsidRPr="00D96F57" w:rsidRDefault="00B854E9" w:rsidP="00B854E9">
      <w:pPr>
        <w:ind w:left="720"/>
        <w:contextualSpacing/>
        <w:rPr>
          <w:sz w:val="24"/>
          <w:szCs w:val="24"/>
        </w:rPr>
      </w:pPr>
    </w:p>
    <w:p w14:paraId="24C32580" w14:textId="77777777" w:rsidR="00D400C5" w:rsidRPr="00D96F57" w:rsidRDefault="00D400C5" w:rsidP="00D400C5">
      <w:pPr>
        <w:numPr>
          <w:ilvl w:val="0"/>
          <w:numId w:val="2"/>
        </w:numPr>
        <w:contextualSpacing/>
        <w:rPr>
          <w:sz w:val="24"/>
          <w:szCs w:val="24"/>
        </w:rPr>
      </w:pPr>
      <w:r w:rsidRPr="00D96F57">
        <w:rPr>
          <w:sz w:val="24"/>
          <w:szCs w:val="24"/>
        </w:rPr>
        <w:t>There is a</w:t>
      </w:r>
      <w:r w:rsidR="00B854E9" w:rsidRPr="00D96F57">
        <w:rPr>
          <w:sz w:val="24"/>
          <w:szCs w:val="24"/>
        </w:rPr>
        <w:t xml:space="preserve"> further </w:t>
      </w:r>
      <w:r w:rsidRPr="00D96F57">
        <w:rPr>
          <w:sz w:val="24"/>
          <w:szCs w:val="24"/>
        </w:rPr>
        <w:t>ambition that technology</w:t>
      </w:r>
      <w:r w:rsidR="00B854E9" w:rsidRPr="00D96F57">
        <w:rPr>
          <w:sz w:val="24"/>
          <w:szCs w:val="24"/>
        </w:rPr>
        <w:t>, including algorithmic decision-making tools,</w:t>
      </w:r>
      <w:r w:rsidRPr="00D96F57">
        <w:rPr>
          <w:sz w:val="24"/>
          <w:szCs w:val="24"/>
        </w:rPr>
        <w:t xml:space="preserve"> will allow the</w:t>
      </w:r>
      <w:r w:rsidR="00457CD1" w:rsidRPr="00D96F57">
        <w:rPr>
          <w:sz w:val="24"/>
          <w:szCs w:val="24"/>
        </w:rPr>
        <w:t xml:space="preserve"> professional</w:t>
      </w:r>
      <w:r w:rsidRPr="00D96F57">
        <w:rPr>
          <w:sz w:val="24"/>
          <w:szCs w:val="24"/>
        </w:rPr>
        <w:t xml:space="preserve"> deregulation of various groups of staff,</w:t>
      </w:r>
      <w:r w:rsidRPr="00D96F57">
        <w:rPr>
          <w:sz w:val="24"/>
          <w:szCs w:val="24"/>
          <w:vertAlign w:val="superscript"/>
        </w:rPr>
        <w:footnoteReference w:id="27"/>
      </w:r>
      <w:r w:rsidRPr="00D96F57">
        <w:rPr>
          <w:sz w:val="24"/>
          <w:szCs w:val="24"/>
        </w:rPr>
        <w:t xml:space="preserve"> </w:t>
      </w:r>
      <w:r w:rsidRPr="00D96F57">
        <w:rPr>
          <w:color w:val="1A1A1A" w:themeColor="background1" w:themeShade="1A"/>
          <w:sz w:val="24"/>
          <w:szCs w:val="24"/>
        </w:rPr>
        <w:t>while</w:t>
      </w:r>
      <w:r w:rsidRPr="00D96F57">
        <w:rPr>
          <w:sz w:val="24"/>
          <w:szCs w:val="24"/>
        </w:rPr>
        <w:t xml:space="preserve"> Clause 123</w:t>
      </w:r>
      <w:r w:rsidRPr="00D96F57">
        <w:rPr>
          <w:color w:val="3366FF"/>
          <w:sz w:val="24"/>
          <w:szCs w:val="24"/>
        </w:rPr>
        <w:t xml:space="preserve"> </w:t>
      </w:r>
      <w:r w:rsidRPr="00D96F57">
        <w:rPr>
          <w:color w:val="1A1A1A" w:themeColor="background1" w:themeShade="1A"/>
          <w:sz w:val="24"/>
          <w:szCs w:val="24"/>
        </w:rPr>
        <w:t xml:space="preserve">gives the SoS the power to use secondary legislation to remove a healthcare profession from regulation and abolish </w:t>
      </w:r>
      <w:r w:rsidR="00F4569C" w:rsidRPr="00D96F57">
        <w:rPr>
          <w:color w:val="1A1A1A" w:themeColor="background1" w:themeShade="1A"/>
          <w:sz w:val="24"/>
          <w:szCs w:val="24"/>
        </w:rPr>
        <w:t>its</w:t>
      </w:r>
      <w:r w:rsidRPr="00D96F57">
        <w:rPr>
          <w:color w:val="1A1A1A" w:themeColor="background1" w:themeShade="1A"/>
          <w:sz w:val="24"/>
          <w:szCs w:val="24"/>
        </w:rPr>
        <w:t xml:space="preserve"> regulatory body. Our concern is that this will weaken standards of training and competence, </w:t>
      </w:r>
      <w:r w:rsidR="00090429" w:rsidRPr="00D96F57">
        <w:rPr>
          <w:color w:val="1A1A1A" w:themeColor="background1" w:themeShade="1A"/>
          <w:sz w:val="24"/>
          <w:szCs w:val="24"/>
        </w:rPr>
        <w:t>allow the down-</w:t>
      </w:r>
      <w:r w:rsidR="00B854E9" w:rsidRPr="00D96F57">
        <w:rPr>
          <w:color w:val="1A1A1A" w:themeColor="background1" w:themeShade="1A"/>
          <w:sz w:val="24"/>
          <w:szCs w:val="24"/>
        </w:rPr>
        <w:t xml:space="preserve">banding of staff </w:t>
      </w:r>
      <w:r w:rsidRPr="00D96F57">
        <w:rPr>
          <w:color w:val="1A1A1A" w:themeColor="background1" w:themeShade="1A"/>
          <w:sz w:val="24"/>
          <w:szCs w:val="24"/>
        </w:rPr>
        <w:t>and put patients at risk</w:t>
      </w:r>
      <w:r w:rsidRPr="00D96F57">
        <w:rPr>
          <w:sz w:val="24"/>
          <w:szCs w:val="24"/>
          <w:vertAlign w:val="superscript"/>
        </w:rPr>
        <w:footnoteReference w:id="28"/>
      </w:r>
      <w:r w:rsidR="00B854E9" w:rsidRPr="00D96F57">
        <w:rPr>
          <w:color w:val="1A1A1A" w:themeColor="background1" w:themeShade="1A"/>
          <w:sz w:val="24"/>
          <w:szCs w:val="24"/>
        </w:rPr>
        <w:t>.</w:t>
      </w:r>
      <w:r w:rsidRPr="00D96F57">
        <w:rPr>
          <w:sz w:val="24"/>
          <w:szCs w:val="24"/>
        </w:rPr>
        <w:t xml:space="preserve"> </w:t>
      </w:r>
      <w:r w:rsidR="00B854E9" w:rsidRPr="00D96F57">
        <w:rPr>
          <w:color w:val="1A1A1A" w:themeColor="background1" w:themeShade="1A"/>
          <w:sz w:val="24"/>
          <w:szCs w:val="24"/>
        </w:rPr>
        <w:t xml:space="preserve"> Firstly, a growing</w:t>
      </w:r>
      <w:r w:rsidRPr="00D96F57">
        <w:rPr>
          <w:color w:val="1A1A1A" w:themeColor="background1" w:themeShade="1A"/>
          <w:sz w:val="24"/>
          <w:szCs w:val="24"/>
        </w:rPr>
        <w:t xml:space="preserve"> dependence on algorithms </w:t>
      </w:r>
      <w:r w:rsidR="00EC4729" w:rsidRPr="00D96F57">
        <w:rPr>
          <w:color w:val="1A1A1A" w:themeColor="background1" w:themeShade="1A"/>
          <w:sz w:val="24"/>
          <w:szCs w:val="24"/>
        </w:rPr>
        <w:t>ignores</w:t>
      </w:r>
      <w:r w:rsidRPr="00D96F57">
        <w:rPr>
          <w:color w:val="1A1A1A" w:themeColor="background1" w:themeShade="1A"/>
          <w:sz w:val="24"/>
          <w:szCs w:val="24"/>
        </w:rPr>
        <w:t xml:space="preserve"> that these are not value free but subject in their development to human error and bias</w:t>
      </w:r>
      <w:r w:rsidR="00090429" w:rsidRPr="00D96F57">
        <w:rPr>
          <w:color w:val="1A1A1A" w:themeColor="background1" w:themeShade="1A"/>
          <w:sz w:val="24"/>
          <w:szCs w:val="24"/>
        </w:rPr>
        <w:t>,</w:t>
      </w:r>
      <w:r w:rsidR="003A2E58" w:rsidRPr="00D96F57">
        <w:rPr>
          <w:color w:val="1A1A1A" w:themeColor="background1" w:themeShade="1A"/>
          <w:sz w:val="24"/>
          <w:szCs w:val="24"/>
        </w:rPr>
        <w:t xml:space="preserve"> as was so dramatically s</w:t>
      </w:r>
      <w:r w:rsidR="00CC44CA" w:rsidRPr="00D96F57">
        <w:rPr>
          <w:color w:val="1A1A1A" w:themeColor="background1" w:themeShade="1A"/>
          <w:sz w:val="24"/>
          <w:szCs w:val="24"/>
        </w:rPr>
        <w:t>hown</w:t>
      </w:r>
      <w:r w:rsidR="003A2E58" w:rsidRPr="00D96F57">
        <w:rPr>
          <w:color w:val="1A1A1A" w:themeColor="background1" w:themeShade="1A"/>
          <w:sz w:val="24"/>
          <w:szCs w:val="24"/>
        </w:rPr>
        <w:t xml:space="preserve"> in </w:t>
      </w:r>
      <w:r w:rsidR="00126FEA" w:rsidRPr="00D96F57">
        <w:rPr>
          <w:color w:val="1A1A1A" w:themeColor="background1" w:themeShade="1A"/>
          <w:sz w:val="24"/>
          <w:szCs w:val="24"/>
        </w:rPr>
        <w:t xml:space="preserve">the </w:t>
      </w:r>
      <w:r w:rsidR="00762550" w:rsidRPr="00D96F57">
        <w:rPr>
          <w:color w:val="1A1A1A" w:themeColor="background1" w:themeShade="1A"/>
          <w:sz w:val="24"/>
          <w:szCs w:val="24"/>
        </w:rPr>
        <w:t>‘</w:t>
      </w:r>
      <w:r w:rsidR="004E3954" w:rsidRPr="00D96F57">
        <w:rPr>
          <w:color w:val="1A1A1A" w:themeColor="background1" w:themeShade="1A"/>
          <w:sz w:val="24"/>
          <w:szCs w:val="24"/>
        </w:rPr>
        <w:t xml:space="preserve">biased </w:t>
      </w:r>
      <w:r w:rsidR="00683039" w:rsidRPr="00D96F57">
        <w:rPr>
          <w:color w:val="1A1A1A" w:themeColor="background1" w:themeShade="1A"/>
          <w:sz w:val="24"/>
          <w:szCs w:val="24"/>
        </w:rPr>
        <w:t>school exam results</w:t>
      </w:r>
      <w:r w:rsidR="00762550" w:rsidRPr="00D96F57">
        <w:rPr>
          <w:color w:val="1A1A1A" w:themeColor="background1" w:themeShade="1A"/>
          <w:sz w:val="24"/>
          <w:szCs w:val="24"/>
        </w:rPr>
        <w:t>’</w:t>
      </w:r>
      <w:r w:rsidR="00683039" w:rsidRPr="00D96F57">
        <w:rPr>
          <w:color w:val="1A1A1A" w:themeColor="background1" w:themeShade="1A"/>
          <w:sz w:val="24"/>
          <w:szCs w:val="24"/>
        </w:rPr>
        <w:t xml:space="preserve"> in 2020</w:t>
      </w:r>
      <w:r w:rsidR="00683039" w:rsidRPr="00D96F57">
        <w:rPr>
          <w:rStyle w:val="FootnoteReference"/>
          <w:color w:val="1A1A1A" w:themeColor="background1" w:themeShade="1A"/>
          <w:sz w:val="24"/>
          <w:szCs w:val="24"/>
        </w:rPr>
        <w:footnoteReference w:id="29"/>
      </w:r>
      <w:r w:rsidR="00683039" w:rsidRPr="00D96F57">
        <w:rPr>
          <w:color w:val="1A1A1A" w:themeColor="background1" w:themeShade="1A"/>
          <w:sz w:val="24"/>
          <w:szCs w:val="24"/>
        </w:rPr>
        <w:t xml:space="preserve">. </w:t>
      </w:r>
      <w:r w:rsidR="00B854E9" w:rsidRPr="00D96F57">
        <w:rPr>
          <w:color w:val="1A1A1A" w:themeColor="background1" w:themeShade="1A"/>
          <w:sz w:val="24"/>
          <w:szCs w:val="24"/>
        </w:rPr>
        <w:t>Secondly</w:t>
      </w:r>
      <w:r w:rsidRPr="00D96F57">
        <w:rPr>
          <w:color w:val="1A1A1A" w:themeColor="background1" w:themeShade="1A"/>
          <w:sz w:val="24"/>
          <w:szCs w:val="24"/>
        </w:rPr>
        <w:t xml:space="preserve">, without sufficient </w:t>
      </w:r>
      <w:r w:rsidR="00B60F3E" w:rsidRPr="00D96F57">
        <w:rPr>
          <w:color w:val="1A1A1A" w:themeColor="background1" w:themeShade="1A"/>
          <w:sz w:val="24"/>
          <w:szCs w:val="24"/>
        </w:rPr>
        <w:t xml:space="preserve">learned </w:t>
      </w:r>
      <w:r w:rsidRPr="00D96F57">
        <w:rPr>
          <w:color w:val="1A1A1A" w:themeColor="background1" w:themeShade="1A"/>
          <w:sz w:val="24"/>
          <w:szCs w:val="24"/>
        </w:rPr>
        <w:t>clinical judgement,</w:t>
      </w:r>
      <w:r w:rsidRPr="00D96F57">
        <w:rPr>
          <w:sz w:val="24"/>
          <w:szCs w:val="24"/>
        </w:rPr>
        <w:t xml:space="preserve"> the health workers using these systems may be unaware </w:t>
      </w:r>
      <w:r w:rsidR="00B854E9" w:rsidRPr="00D96F57">
        <w:rPr>
          <w:sz w:val="24"/>
          <w:szCs w:val="24"/>
        </w:rPr>
        <w:t>of computer decision errors or</w:t>
      </w:r>
      <w:r w:rsidRPr="00D96F57">
        <w:rPr>
          <w:sz w:val="24"/>
          <w:szCs w:val="24"/>
        </w:rPr>
        <w:t xml:space="preserve"> when they should </w:t>
      </w:r>
      <w:r w:rsidR="00CA612E" w:rsidRPr="00D96F57">
        <w:rPr>
          <w:sz w:val="24"/>
          <w:szCs w:val="24"/>
        </w:rPr>
        <w:t xml:space="preserve">seek </w:t>
      </w:r>
      <w:r w:rsidRPr="00D96F57">
        <w:rPr>
          <w:sz w:val="24"/>
          <w:szCs w:val="24"/>
        </w:rPr>
        <w:t>advice</w:t>
      </w:r>
      <w:r w:rsidR="004F0D6B" w:rsidRPr="00D96F57">
        <w:rPr>
          <w:sz w:val="24"/>
          <w:szCs w:val="24"/>
        </w:rPr>
        <w:t>.</w:t>
      </w:r>
      <w:r w:rsidR="00B854E9" w:rsidRPr="00D96F57">
        <w:rPr>
          <w:sz w:val="24"/>
          <w:szCs w:val="24"/>
        </w:rPr>
        <w:t xml:space="preserve"> Computer</w:t>
      </w:r>
      <w:r w:rsidRPr="00D96F57">
        <w:rPr>
          <w:sz w:val="24"/>
          <w:szCs w:val="24"/>
        </w:rPr>
        <w:t xml:space="preserve"> systems can crash, from power failures, viruses and software bugs</w:t>
      </w:r>
      <w:r w:rsidR="000E74DC" w:rsidRPr="00D96F57">
        <w:rPr>
          <w:sz w:val="24"/>
          <w:szCs w:val="24"/>
        </w:rPr>
        <w:t>, and</w:t>
      </w:r>
      <w:r w:rsidR="00090429" w:rsidRPr="00D96F57">
        <w:rPr>
          <w:sz w:val="24"/>
          <w:szCs w:val="24"/>
        </w:rPr>
        <w:t xml:space="preserve"> under-qualified </w:t>
      </w:r>
      <w:r w:rsidRPr="00D96F57">
        <w:rPr>
          <w:sz w:val="24"/>
          <w:szCs w:val="24"/>
        </w:rPr>
        <w:t>worker</w:t>
      </w:r>
      <w:r w:rsidR="00277FC1" w:rsidRPr="00D96F57">
        <w:rPr>
          <w:sz w:val="24"/>
          <w:szCs w:val="24"/>
        </w:rPr>
        <w:t>s</w:t>
      </w:r>
      <w:r w:rsidRPr="00D96F57">
        <w:rPr>
          <w:sz w:val="24"/>
          <w:szCs w:val="24"/>
        </w:rPr>
        <w:t xml:space="preserve"> may be unable to cope when </w:t>
      </w:r>
      <w:r w:rsidR="00B854E9" w:rsidRPr="00D96F57">
        <w:rPr>
          <w:sz w:val="24"/>
          <w:szCs w:val="24"/>
        </w:rPr>
        <w:t>this happens</w:t>
      </w:r>
      <w:r w:rsidRPr="00D96F57">
        <w:rPr>
          <w:sz w:val="24"/>
          <w:szCs w:val="24"/>
        </w:rPr>
        <w:t>.</w:t>
      </w:r>
      <w:r w:rsidRPr="00D96F57">
        <w:rPr>
          <w:i/>
          <w:color w:val="3366FF"/>
          <w:sz w:val="24"/>
          <w:szCs w:val="24"/>
        </w:rPr>
        <w:t xml:space="preserve"> </w:t>
      </w:r>
    </w:p>
    <w:p w14:paraId="6D8262A2" w14:textId="77777777" w:rsidR="00B854E9" w:rsidRPr="00D96F57" w:rsidRDefault="00B854E9" w:rsidP="00B854E9">
      <w:pPr>
        <w:pStyle w:val="ListParagraph"/>
        <w:rPr>
          <w:sz w:val="24"/>
          <w:szCs w:val="24"/>
        </w:rPr>
      </w:pPr>
    </w:p>
    <w:p w14:paraId="3E0ED777" w14:textId="77777777" w:rsidR="00D400C5" w:rsidRPr="00D96F57" w:rsidRDefault="00D400C5" w:rsidP="00D400C5">
      <w:pPr>
        <w:rPr>
          <w:b/>
          <w:bCs/>
          <w:sz w:val="24"/>
          <w:szCs w:val="24"/>
        </w:rPr>
      </w:pPr>
      <w:r w:rsidRPr="00D96F57">
        <w:rPr>
          <w:b/>
          <w:bCs/>
          <w:sz w:val="24"/>
          <w:szCs w:val="24"/>
        </w:rPr>
        <w:t>Data, the use of analytics, and other concerns</w:t>
      </w:r>
    </w:p>
    <w:p w14:paraId="5A6CB863" w14:textId="77777777" w:rsidR="00D400C5" w:rsidRPr="00D96F57" w:rsidRDefault="00D400C5" w:rsidP="00D400C5">
      <w:pPr>
        <w:rPr>
          <w:b/>
          <w:bCs/>
          <w:sz w:val="24"/>
          <w:szCs w:val="24"/>
        </w:rPr>
      </w:pPr>
    </w:p>
    <w:p w14:paraId="17EA84BC" w14:textId="77777777" w:rsidR="00387C93" w:rsidRPr="00D96F57" w:rsidRDefault="00D400C5" w:rsidP="00D400C5">
      <w:pPr>
        <w:numPr>
          <w:ilvl w:val="0"/>
          <w:numId w:val="2"/>
        </w:numPr>
        <w:contextualSpacing/>
        <w:rPr>
          <w:sz w:val="24"/>
          <w:szCs w:val="24"/>
        </w:rPr>
      </w:pPr>
      <w:r w:rsidRPr="00D96F57">
        <w:rPr>
          <w:sz w:val="24"/>
          <w:szCs w:val="24"/>
        </w:rPr>
        <w:t xml:space="preserve">Clinical activity, costs and ‘outcomes’ will be monitored in real time and data stored for planning and analytics. </w:t>
      </w:r>
      <w:r w:rsidR="00B854E9" w:rsidRPr="00D96F57">
        <w:rPr>
          <w:sz w:val="24"/>
          <w:szCs w:val="24"/>
        </w:rPr>
        <w:t xml:space="preserve">As </w:t>
      </w:r>
      <w:r w:rsidR="006458C7" w:rsidRPr="00D96F57">
        <w:rPr>
          <w:sz w:val="24"/>
          <w:szCs w:val="24"/>
        </w:rPr>
        <w:t xml:space="preserve">accountable care requires  </w:t>
      </w:r>
      <w:r w:rsidR="00B854E9" w:rsidRPr="00D96F57">
        <w:rPr>
          <w:sz w:val="24"/>
          <w:szCs w:val="24"/>
        </w:rPr>
        <w:t>‘best value</w:t>
      </w:r>
      <w:r w:rsidR="00F518F3" w:rsidRPr="00D96F57">
        <w:rPr>
          <w:sz w:val="24"/>
          <w:szCs w:val="24"/>
        </w:rPr>
        <w:t xml:space="preserve"> </w:t>
      </w:r>
      <w:r w:rsidR="00B854E9" w:rsidRPr="00D96F57">
        <w:rPr>
          <w:sz w:val="24"/>
          <w:szCs w:val="24"/>
        </w:rPr>
        <w:t>for the system</w:t>
      </w:r>
      <w:r w:rsidR="006458C7" w:rsidRPr="00D96F57">
        <w:rPr>
          <w:sz w:val="24"/>
          <w:szCs w:val="24"/>
        </w:rPr>
        <w:t>’</w:t>
      </w:r>
      <w:r w:rsidR="00B854E9" w:rsidRPr="00D96F57">
        <w:rPr>
          <w:sz w:val="24"/>
          <w:szCs w:val="24"/>
        </w:rPr>
        <w:t xml:space="preserve"> to be the primary</w:t>
      </w:r>
      <w:r w:rsidR="006458C7" w:rsidRPr="00D96F57">
        <w:rPr>
          <w:sz w:val="24"/>
          <w:szCs w:val="24"/>
        </w:rPr>
        <w:t xml:space="preserve"> </w:t>
      </w:r>
      <w:r w:rsidR="00A50E50" w:rsidRPr="00D96F57">
        <w:rPr>
          <w:sz w:val="24"/>
          <w:szCs w:val="24"/>
        </w:rPr>
        <w:t>measure</w:t>
      </w:r>
      <w:r w:rsidR="0031457F" w:rsidRPr="00D96F57">
        <w:rPr>
          <w:sz w:val="24"/>
          <w:szCs w:val="24"/>
        </w:rPr>
        <w:t xml:space="preserve"> to decide where to spend a limited budget</w:t>
      </w:r>
      <w:r w:rsidR="006458C7" w:rsidRPr="00D96F57">
        <w:rPr>
          <w:rStyle w:val="FootnoteReference"/>
          <w:sz w:val="24"/>
          <w:szCs w:val="24"/>
        </w:rPr>
        <w:footnoteReference w:id="30"/>
      </w:r>
      <w:r w:rsidR="006458C7" w:rsidRPr="00D96F57">
        <w:rPr>
          <w:sz w:val="24"/>
          <w:szCs w:val="24"/>
        </w:rPr>
        <w:t>, all</w:t>
      </w:r>
      <w:r w:rsidRPr="00D96F57">
        <w:rPr>
          <w:sz w:val="24"/>
          <w:szCs w:val="24"/>
        </w:rPr>
        <w:t xml:space="preserve"> health conditions need to be developed as ‘currencies’</w:t>
      </w:r>
      <w:r w:rsidR="008D04BD" w:rsidRPr="00D96F57">
        <w:rPr>
          <w:rStyle w:val="FootnoteReference"/>
          <w:sz w:val="24"/>
          <w:szCs w:val="24"/>
        </w:rPr>
        <w:footnoteReference w:id="31"/>
      </w:r>
      <w:r w:rsidRPr="00D96F57">
        <w:rPr>
          <w:sz w:val="24"/>
          <w:szCs w:val="24"/>
        </w:rPr>
        <w:t xml:space="preserve"> so that </w:t>
      </w:r>
      <w:r w:rsidR="006458C7" w:rsidRPr="00D96F57">
        <w:rPr>
          <w:sz w:val="24"/>
          <w:szCs w:val="24"/>
        </w:rPr>
        <w:t>they</w:t>
      </w:r>
      <w:r w:rsidR="00DC0D75" w:rsidRPr="00D96F57">
        <w:rPr>
          <w:sz w:val="24"/>
          <w:szCs w:val="24"/>
        </w:rPr>
        <w:t xml:space="preserve"> can be compared </w:t>
      </w:r>
      <w:r w:rsidR="006E6FB8" w:rsidRPr="00D96F57">
        <w:rPr>
          <w:sz w:val="24"/>
          <w:szCs w:val="24"/>
        </w:rPr>
        <w:t>‘as in a market’</w:t>
      </w:r>
      <w:r w:rsidR="00E15245" w:rsidRPr="00D96F57">
        <w:rPr>
          <w:sz w:val="24"/>
          <w:szCs w:val="24"/>
        </w:rPr>
        <w:t xml:space="preserve"> </w:t>
      </w:r>
      <w:r w:rsidR="006458C7" w:rsidRPr="00D96F57">
        <w:rPr>
          <w:sz w:val="24"/>
          <w:szCs w:val="24"/>
        </w:rPr>
        <w:t>using health and social care data and analytics</w:t>
      </w:r>
      <w:r w:rsidR="00115D46" w:rsidRPr="00D96F57">
        <w:rPr>
          <w:sz w:val="24"/>
          <w:szCs w:val="24"/>
        </w:rPr>
        <w:t xml:space="preserve">. </w:t>
      </w:r>
      <w:r w:rsidR="00021615" w:rsidRPr="00D96F57">
        <w:rPr>
          <w:sz w:val="24"/>
          <w:szCs w:val="24"/>
        </w:rPr>
        <w:t>In this way</w:t>
      </w:r>
      <w:r w:rsidR="006E6FB8" w:rsidRPr="00D96F57">
        <w:rPr>
          <w:sz w:val="24"/>
          <w:szCs w:val="24"/>
        </w:rPr>
        <w:t xml:space="preserve"> </w:t>
      </w:r>
      <w:r w:rsidR="006458C7" w:rsidRPr="00D96F57">
        <w:rPr>
          <w:sz w:val="24"/>
          <w:szCs w:val="24"/>
        </w:rPr>
        <w:t xml:space="preserve">lesser ‘value’ </w:t>
      </w:r>
      <w:r w:rsidRPr="00D96F57">
        <w:rPr>
          <w:sz w:val="24"/>
          <w:szCs w:val="24"/>
        </w:rPr>
        <w:t xml:space="preserve">can be used to explain individual decisions not to provide care. </w:t>
      </w:r>
    </w:p>
    <w:p w14:paraId="1AF2E0D0" w14:textId="77777777" w:rsidR="00387C93" w:rsidRPr="00D96F57" w:rsidRDefault="00387C93" w:rsidP="00387C93">
      <w:pPr>
        <w:ind w:left="720"/>
        <w:contextualSpacing/>
        <w:rPr>
          <w:sz w:val="24"/>
          <w:szCs w:val="24"/>
        </w:rPr>
      </w:pPr>
    </w:p>
    <w:p w14:paraId="72A74E19" w14:textId="77777777" w:rsidR="00323683" w:rsidRPr="00D96F57" w:rsidRDefault="00D400C5" w:rsidP="006C55C8">
      <w:pPr>
        <w:numPr>
          <w:ilvl w:val="0"/>
          <w:numId w:val="2"/>
        </w:numPr>
        <w:contextualSpacing/>
        <w:rPr>
          <w:color w:val="3366FF"/>
          <w:sz w:val="24"/>
          <w:szCs w:val="24"/>
        </w:rPr>
      </w:pPr>
      <w:r w:rsidRPr="00D96F57">
        <w:rPr>
          <w:sz w:val="24"/>
          <w:szCs w:val="24"/>
        </w:rPr>
        <w:t xml:space="preserve">Clause 81 of the Bill concerns an amendment on ‘dissemination of information’ which </w:t>
      </w:r>
      <w:r w:rsidRPr="00D96F57">
        <w:rPr>
          <w:color w:val="1A1A1A" w:themeColor="background1" w:themeShade="1A"/>
          <w:sz w:val="24"/>
          <w:szCs w:val="24"/>
        </w:rPr>
        <w:t>appears</w:t>
      </w:r>
      <w:r w:rsidRPr="00D96F57">
        <w:rPr>
          <w:sz w:val="24"/>
          <w:szCs w:val="24"/>
        </w:rPr>
        <w:t xml:space="preserve"> to</w:t>
      </w:r>
      <w:r w:rsidR="003D0BE1" w:rsidRPr="00D96F57">
        <w:rPr>
          <w:sz w:val="24"/>
          <w:szCs w:val="24"/>
        </w:rPr>
        <w:t xml:space="preserve"> want to</w:t>
      </w:r>
      <w:r w:rsidRPr="00D96F57">
        <w:rPr>
          <w:sz w:val="24"/>
          <w:szCs w:val="24"/>
        </w:rPr>
        <w:t xml:space="preserve"> put beyond doubt NHS Digital’s power to share </w:t>
      </w:r>
      <w:r w:rsidR="000F6C9F" w:rsidRPr="00D96F57">
        <w:rPr>
          <w:sz w:val="24"/>
          <w:szCs w:val="24"/>
        </w:rPr>
        <w:t xml:space="preserve">huge amounts of </w:t>
      </w:r>
      <w:r w:rsidRPr="00D96F57">
        <w:rPr>
          <w:sz w:val="24"/>
          <w:szCs w:val="24"/>
        </w:rPr>
        <w:t>health or adult social care</w:t>
      </w:r>
      <w:r w:rsidR="00C13788" w:rsidRPr="00D96F57">
        <w:rPr>
          <w:sz w:val="24"/>
          <w:szCs w:val="24"/>
        </w:rPr>
        <w:t xml:space="preserve"> data</w:t>
      </w:r>
      <w:r w:rsidR="005C06BF" w:rsidRPr="00D96F57">
        <w:rPr>
          <w:sz w:val="24"/>
          <w:szCs w:val="24"/>
        </w:rPr>
        <w:t>, including that</w:t>
      </w:r>
      <w:r w:rsidRPr="00D96F57">
        <w:rPr>
          <w:color w:val="1A1A1A" w:themeColor="background1" w:themeShade="1A"/>
          <w:sz w:val="24"/>
          <w:szCs w:val="24"/>
        </w:rPr>
        <w:t xml:space="preserve"> </w:t>
      </w:r>
      <w:r w:rsidRPr="00D96F57">
        <w:rPr>
          <w:color w:val="000000" w:themeColor="text1"/>
          <w:sz w:val="24"/>
          <w:szCs w:val="24"/>
        </w:rPr>
        <w:t>for</w:t>
      </w:r>
      <w:r w:rsidR="008F64E5" w:rsidRPr="00D96F57">
        <w:rPr>
          <w:color w:val="000000" w:themeColor="text1"/>
          <w:sz w:val="24"/>
          <w:szCs w:val="24"/>
        </w:rPr>
        <w:t xml:space="preserve"> </w:t>
      </w:r>
      <w:r w:rsidRPr="00D96F57">
        <w:rPr>
          <w:sz w:val="24"/>
          <w:szCs w:val="24"/>
        </w:rPr>
        <w:t>commissioning, planning, policy and development, population health management</w:t>
      </w:r>
      <w:r w:rsidR="004C0865" w:rsidRPr="00D96F57">
        <w:rPr>
          <w:sz w:val="24"/>
          <w:szCs w:val="24"/>
        </w:rPr>
        <w:t xml:space="preserve">, </w:t>
      </w:r>
      <w:r w:rsidRPr="00D96F57">
        <w:rPr>
          <w:sz w:val="24"/>
          <w:szCs w:val="24"/>
        </w:rPr>
        <w:t xml:space="preserve">and </w:t>
      </w:r>
      <w:r w:rsidR="006458C7" w:rsidRPr="00D96F57">
        <w:rPr>
          <w:sz w:val="24"/>
          <w:szCs w:val="24"/>
        </w:rPr>
        <w:t xml:space="preserve">developing </w:t>
      </w:r>
      <w:r w:rsidRPr="00D96F57">
        <w:rPr>
          <w:sz w:val="24"/>
          <w:szCs w:val="24"/>
        </w:rPr>
        <w:t xml:space="preserve">innovative approaches and technologies for </w:t>
      </w:r>
      <w:r w:rsidR="006458C7" w:rsidRPr="00D96F57">
        <w:rPr>
          <w:sz w:val="24"/>
          <w:szCs w:val="24"/>
        </w:rPr>
        <w:t>service</w:t>
      </w:r>
      <w:r w:rsidRPr="00D96F57">
        <w:rPr>
          <w:sz w:val="24"/>
          <w:szCs w:val="24"/>
        </w:rPr>
        <w:t xml:space="preserve"> delivery. </w:t>
      </w:r>
      <w:r w:rsidR="006458C7" w:rsidRPr="00D96F57">
        <w:rPr>
          <w:sz w:val="24"/>
          <w:szCs w:val="24"/>
        </w:rPr>
        <w:t>W</w:t>
      </w:r>
      <w:r w:rsidR="000B4C26" w:rsidRPr="00D96F57">
        <w:rPr>
          <w:sz w:val="24"/>
          <w:szCs w:val="24"/>
        </w:rPr>
        <w:t xml:space="preserve">idely </w:t>
      </w:r>
      <w:r w:rsidR="00A20BD1" w:rsidRPr="00D96F57">
        <w:rPr>
          <w:sz w:val="24"/>
          <w:szCs w:val="24"/>
        </w:rPr>
        <w:t xml:space="preserve">expressed </w:t>
      </w:r>
      <w:r w:rsidRPr="00D96F57">
        <w:rPr>
          <w:sz w:val="24"/>
          <w:szCs w:val="24"/>
        </w:rPr>
        <w:lastRenderedPageBreak/>
        <w:t>concerns</w:t>
      </w:r>
      <w:r w:rsidR="006458C7" w:rsidRPr="00D96F57">
        <w:rPr>
          <w:sz w:val="24"/>
          <w:szCs w:val="24"/>
        </w:rPr>
        <w:t xml:space="preserve"> </w:t>
      </w:r>
      <w:r w:rsidRPr="00D96F57">
        <w:rPr>
          <w:sz w:val="24"/>
          <w:szCs w:val="24"/>
        </w:rPr>
        <w:t xml:space="preserve">about </w:t>
      </w:r>
      <w:r w:rsidR="006458C7" w:rsidRPr="00D96F57">
        <w:rPr>
          <w:sz w:val="24"/>
          <w:szCs w:val="24"/>
        </w:rPr>
        <w:t>growing</w:t>
      </w:r>
      <w:r w:rsidRPr="00D96F57">
        <w:rPr>
          <w:sz w:val="24"/>
          <w:szCs w:val="24"/>
        </w:rPr>
        <w:t xml:space="preserve"> commercial </w:t>
      </w:r>
      <w:r w:rsidR="00B17CCE" w:rsidRPr="00D96F57">
        <w:rPr>
          <w:sz w:val="24"/>
          <w:szCs w:val="24"/>
        </w:rPr>
        <w:t>access to</w:t>
      </w:r>
      <w:r w:rsidR="007B3E7F" w:rsidRPr="00D96F57">
        <w:rPr>
          <w:sz w:val="24"/>
          <w:szCs w:val="24"/>
        </w:rPr>
        <w:t xml:space="preserve"> </w:t>
      </w:r>
      <w:r w:rsidRPr="00D96F57">
        <w:rPr>
          <w:sz w:val="24"/>
          <w:szCs w:val="24"/>
        </w:rPr>
        <w:t>data</w:t>
      </w:r>
      <w:r w:rsidR="006458C7" w:rsidRPr="00D96F57">
        <w:rPr>
          <w:rStyle w:val="FootnoteReference"/>
          <w:sz w:val="24"/>
          <w:szCs w:val="24"/>
        </w:rPr>
        <w:footnoteReference w:id="32"/>
      </w:r>
      <w:r w:rsidRPr="00D96F57">
        <w:rPr>
          <w:sz w:val="24"/>
          <w:szCs w:val="24"/>
        </w:rPr>
        <w:t xml:space="preserve"> </w:t>
      </w:r>
      <w:r w:rsidR="00C25DDC" w:rsidRPr="00D96F57">
        <w:rPr>
          <w:sz w:val="24"/>
          <w:szCs w:val="24"/>
        </w:rPr>
        <w:t xml:space="preserve">can </w:t>
      </w:r>
      <w:r w:rsidR="0002605A" w:rsidRPr="00D96F57">
        <w:rPr>
          <w:sz w:val="24"/>
          <w:szCs w:val="24"/>
        </w:rPr>
        <w:t>only</w:t>
      </w:r>
      <w:r w:rsidR="00AB554A" w:rsidRPr="00D96F57">
        <w:rPr>
          <w:sz w:val="24"/>
          <w:szCs w:val="24"/>
        </w:rPr>
        <w:t xml:space="preserve"> unfortunately </w:t>
      </w:r>
      <w:r w:rsidR="00C25DDC" w:rsidRPr="00D96F57">
        <w:rPr>
          <w:sz w:val="24"/>
          <w:szCs w:val="24"/>
        </w:rPr>
        <w:t xml:space="preserve">be </w:t>
      </w:r>
      <w:r w:rsidR="00741C6D" w:rsidRPr="00D96F57">
        <w:rPr>
          <w:sz w:val="24"/>
          <w:szCs w:val="24"/>
        </w:rPr>
        <w:t>strengthened</w:t>
      </w:r>
      <w:r w:rsidRPr="00D96F57">
        <w:rPr>
          <w:sz w:val="24"/>
          <w:szCs w:val="24"/>
        </w:rPr>
        <w:t xml:space="preserve"> </w:t>
      </w:r>
      <w:r w:rsidR="00583257" w:rsidRPr="00D96F57">
        <w:rPr>
          <w:sz w:val="24"/>
          <w:szCs w:val="24"/>
        </w:rPr>
        <w:t>by</w:t>
      </w:r>
      <w:r w:rsidRPr="00D96F57">
        <w:rPr>
          <w:sz w:val="24"/>
          <w:szCs w:val="24"/>
        </w:rPr>
        <w:t xml:space="preserve"> </w:t>
      </w:r>
      <w:r w:rsidR="00055549" w:rsidRPr="00D96F57">
        <w:rPr>
          <w:sz w:val="24"/>
          <w:szCs w:val="24"/>
        </w:rPr>
        <w:t xml:space="preserve">reading </w:t>
      </w:r>
      <w:r w:rsidR="00D50867" w:rsidRPr="00D96F57">
        <w:rPr>
          <w:sz w:val="24"/>
          <w:szCs w:val="24"/>
        </w:rPr>
        <w:t>clause 81</w:t>
      </w:r>
      <w:r w:rsidR="00C20E1A" w:rsidRPr="00D96F57">
        <w:rPr>
          <w:sz w:val="24"/>
          <w:szCs w:val="24"/>
        </w:rPr>
        <w:t xml:space="preserve"> </w:t>
      </w:r>
      <w:r w:rsidR="00A83770" w:rsidRPr="00D96F57">
        <w:rPr>
          <w:sz w:val="24"/>
          <w:szCs w:val="24"/>
        </w:rPr>
        <w:t>while</w:t>
      </w:r>
      <w:r w:rsidR="00374BAC" w:rsidRPr="00D96F57">
        <w:rPr>
          <w:sz w:val="24"/>
          <w:szCs w:val="24"/>
        </w:rPr>
        <w:t xml:space="preserve"> </w:t>
      </w:r>
      <w:r w:rsidR="00FA3DDA" w:rsidRPr="00D96F57">
        <w:rPr>
          <w:sz w:val="24"/>
          <w:szCs w:val="24"/>
        </w:rPr>
        <w:t xml:space="preserve">glancing at </w:t>
      </w:r>
      <w:r w:rsidRPr="00D96F57">
        <w:rPr>
          <w:sz w:val="24"/>
          <w:szCs w:val="24"/>
        </w:rPr>
        <w:t xml:space="preserve">NHS England’s ‘Health Systems Support Framework’. </w:t>
      </w:r>
      <w:r w:rsidR="006458C7" w:rsidRPr="00D96F57">
        <w:rPr>
          <w:color w:val="1A1A1A" w:themeColor="background1" w:themeShade="1A"/>
          <w:sz w:val="24"/>
          <w:szCs w:val="24"/>
        </w:rPr>
        <w:t>This</w:t>
      </w:r>
      <w:r w:rsidRPr="00D96F57">
        <w:rPr>
          <w:color w:val="1A1A1A" w:themeColor="background1" w:themeShade="1A"/>
          <w:sz w:val="24"/>
          <w:szCs w:val="24"/>
        </w:rPr>
        <w:t xml:space="preserve"> includes s</w:t>
      </w:r>
      <w:r w:rsidRPr="00D96F57">
        <w:rPr>
          <w:sz w:val="24"/>
          <w:szCs w:val="24"/>
        </w:rPr>
        <w:t>ome 200 organisations</w:t>
      </w:r>
      <w:r w:rsidR="00090429" w:rsidRPr="00D96F57">
        <w:rPr>
          <w:sz w:val="24"/>
          <w:szCs w:val="24"/>
        </w:rPr>
        <w:t xml:space="preserve"> </w:t>
      </w:r>
      <w:r w:rsidR="00127A5C" w:rsidRPr="00D96F57">
        <w:rPr>
          <w:sz w:val="24"/>
          <w:szCs w:val="24"/>
        </w:rPr>
        <w:t>-</w:t>
      </w:r>
      <w:r w:rsidR="00090429" w:rsidRPr="00D96F57">
        <w:rPr>
          <w:sz w:val="24"/>
          <w:szCs w:val="24"/>
        </w:rPr>
        <w:t xml:space="preserve"> </w:t>
      </w:r>
      <w:r w:rsidRPr="00D96F57">
        <w:rPr>
          <w:sz w:val="24"/>
          <w:szCs w:val="24"/>
        </w:rPr>
        <w:t>almost all of them private</w:t>
      </w:r>
      <w:r w:rsidR="00C631B7" w:rsidRPr="00D96F57">
        <w:rPr>
          <w:sz w:val="24"/>
          <w:szCs w:val="24"/>
        </w:rPr>
        <w:t>, many based abroad</w:t>
      </w:r>
      <w:r w:rsidR="003D712A" w:rsidRPr="00D96F57">
        <w:rPr>
          <w:sz w:val="24"/>
          <w:szCs w:val="24"/>
        </w:rPr>
        <w:t xml:space="preserve"> </w:t>
      </w:r>
      <w:r w:rsidRPr="00D96F57">
        <w:rPr>
          <w:sz w:val="24"/>
          <w:szCs w:val="24"/>
        </w:rPr>
        <w:t xml:space="preserve">and at least 30 </w:t>
      </w:r>
      <w:r w:rsidR="003D712A" w:rsidRPr="00D96F57">
        <w:rPr>
          <w:sz w:val="24"/>
          <w:szCs w:val="24"/>
        </w:rPr>
        <w:t>from the US</w:t>
      </w:r>
      <w:r w:rsidR="00090429" w:rsidRPr="00D96F57">
        <w:rPr>
          <w:sz w:val="24"/>
          <w:szCs w:val="24"/>
        </w:rPr>
        <w:t xml:space="preserve"> </w:t>
      </w:r>
      <w:r w:rsidR="003D712A" w:rsidRPr="00D96F57">
        <w:rPr>
          <w:sz w:val="24"/>
          <w:szCs w:val="24"/>
        </w:rPr>
        <w:t xml:space="preserve">- </w:t>
      </w:r>
      <w:r w:rsidR="00F544EE" w:rsidRPr="00D96F57">
        <w:rPr>
          <w:sz w:val="24"/>
          <w:szCs w:val="24"/>
        </w:rPr>
        <w:t xml:space="preserve">all </w:t>
      </w:r>
      <w:r w:rsidR="003D712A" w:rsidRPr="00D96F57">
        <w:rPr>
          <w:sz w:val="24"/>
          <w:szCs w:val="24"/>
        </w:rPr>
        <w:t>accredited</w:t>
      </w:r>
      <w:r w:rsidRPr="00D96F57">
        <w:rPr>
          <w:sz w:val="24"/>
          <w:szCs w:val="24"/>
        </w:rPr>
        <w:t xml:space="preserve"> to support the </w:t>
      </w:r>
      <w:r w:rsidR="00594DB1" w:rsidRPr="00D96F57">
        <w:rPr>
          <w:sz w:val="24"/>
          <w:szCs w:val="24"/>
        </w:rPr>
        <w:t xml:space="preserve">widespread </w:t>
      </w:r>
      <w:r w:rsidRPr="00D96F57">
        <w:rPr>
          <w:sz w:val="24"/>
          <w:szCs w:val="24"/>
        </w:rPr>
        <w:t>development</w:t>
      </w:r>
      <w:r w:rsidR="00D06F48" w:rsidRPr="00D96F57">
        <w:rPr>
          <w:sz w:val="24"/>
          <w:szCs w:val="24"/>
        </w:rPr>
        <w:t xml:space="preserve"> and use</w:t>
      </w:r>
      <w:r w:rsidRPr="00D96F57">
        <w:rPr>
          <w:sz w:val="24"/>
          <w:szCs w:val="24"/>
        </w:rPr>
        <w:t xml:space="preserve"> of </w:t>
      </w:r>
      <w:r w:rsidR="006B7B2C" w:rsidRPr="00D96F57">
        <w:rPr>
          <w:sz w:val="24"/>
          <w:szCs w:val="24"/>
        </w:rPr>
        <w:t xml:space="preserve">IT </w:t>
      </w:r>
      <w:r w:rsidR="00D06F48" w:rsidRPr="00D96F57">
        <w:rPr>
          <w:sz w:val="24"/>
          <w:szCs w:val="24"/>
        </w:rPr>
        <w:t xml:space="preserve">in </w:t>
      </w:r>
      <w:r w:rsidRPr="00D96F57">
        <w:rPr>
          <w:sz w:val="24"/>
          <w:szCs w:val="24"/>
        </w:rPr>
        <w:t>Integrated Care Systems an</w:t>
      </w:r>
      <w:r w:rsidR="00D12969" w:rsidRPr="00D96F57">
        <w:rPr>
          <w:sz w:val="24"/>
          <w:szCs w:val="24"/>
        </w:rPr>
        <w:t>d so</w:t>
      </w:r>
      <w:r w:rsidR="00540665" w:rsidRPr="00D96F57">
        <w:rPr>
          <w:color w:val="1A1A1A" w:themeColor="background1" w:themeShade="1A"/>
          <w:sz w:val="24"/>
          <w:szCs w:val="24"/>
        </w:rPr>
        <w:t xml:space="preserve"> with </w:t>
      </w:r>
      <w:r w:rsidRPr="00D96F57">
        <w:rPr>
          <w:color w:val="1A1A1A" w:themeColor="background1" w:themeShade="1A"/>
          <w:sz w:val="24"/>
          <w:szCs w:val="24"/>
        </w:rPr>
        <w:t>unprecedented access to patient data.</w:t>
      </w:r>
      <w:r w:rsidRPr="00D96F57">
        <w:rPr>
          <w:sz w:val="24"/>
          <w:szCs w:val="24"/>
        </w:rPr>
        <w:t xml:space="preserve"> </w:t>
      </w:r>
      <w:r w:rsidR="00465B11" w:rsidRPr="00D96F57">
        <w:rPr>
          <w:color w:val="1A1A1A" w:themeColor="background1" w:themeShade="1A"/>
          <w:sz w:val="24"/>
          <w:szCs w:val="24"/>
        </w:rPr>
        <w:t>Our concern</w:t>
      </w:r>
      <w:r w:rsidR="00090429" w:rsidRPr="00D96F57">
        <w:rPr>
          <w:color w:val="1A1A1A" w:themeColor="background1" w:themeShade="1A"/>
          <w:sz w:val="24"/>
          <w:szCs w:val="24"/>
        </w:rPr>
        <w:t xml:space="preserve">s </w:t>
      </w:r>
      <w:r w:rsidR="00090429" w:rsidRPr="00D96F57">
        <w:rPr>
          <w:color w:val="3366FF"/>
          <w:sz w:val="24"/>
          <w:szCs w:val="24"/>
        </w:rPr>
        <w:t>i</w:t>
      </w:r>
      <w:r w:rsidR="00090429" w:rsidRPr="00D96F57">
        <w:rPr>
          <w:sz w:val="24"/>
          <w:szCs w:val="24"/>
        </w:rPr>
        <w:t>nclude</w:t>
      </w:r>
      <w:r w:rsidR="00465B11" w:rsidRPr="00D96F57">
        <w:rPr>
          <w:color w:val="1A1A1A" w:themeColor="background1" w:themeShade="1A"/>
          <w:sz w:val="24"/>
          <w:szCs w:val="24"/>
        </w:rPr>
        <w:t xml:space="preserve"> </w:t>
      </w:r>
      <w:r w:rsidR="00D158CF" w:rsidRPr="00D96F57">
        <w:rPr>
          <w:color w:val="1A1A1A" w:themeColor="background1" w:themeShade="1A"/>
          <w:sz w:val="24"/>
          <w:szCs w:val="24"/>
        </w:rPr>
        <w:t xml:space="preserve">that </w:t>
      </w:r>
      <w:r w:rsidR="00465B11" w:rsidRPr="00D96F57">
        <w:rPr>
          <w:color w:val="1A1A1A" w:themeColor="background1" w:themeShade="1A"/>
          <w:sz w:val="24"/>
          <w:szCs w:val="24"/>
        </w:rPr>
        <w:t>NHS data</w:t>
      </w:r>
      <w:r w:rsidR="00090429" w:rsidRPr="00D96F57">
        <w:rPr>
          <w:color w:val="1A1A1A" w:themeColor="background1" w:themeShade="1A"/>
          <w:sz w:val="24"/>
          <w:szCs w:val="24"/>
        </w:rPr>
        <w:t>,</w:t>
      </w:r>
      <w:r w:rsidR="00465B11" w:rsidRPr="00D96F57">
        <w:rPr>
          <w:color w:val="1A1A1A" w:themeColor="background1" w:themeShade="1A"/>
          <w:sz w:val="24"/>
          <w:szCs w:val="24"/>
        </w:rPr>
        <w:t xml:space="preserve"> </w:t>
      </w:r>
      <w:r w:rsidR="00BB6860" w:rsidRPr="00D96F57">
        <w:rPr>
          <w:color w:val="1A1A1A" w:themeColor="background1" w:themeShade="1A"/>
          <w:sz w:val="24"/>
          <w:szCs w:val="24"/>
        </w:rPr>
        <w:t>once uploaded</w:t>
      </w:r>
      <w:r w:rsidR="00090429" w:rsidRPr="00D96F57">
        <w:rPr>
          <w:color w:val="1A1A1A" w:themeColor="background1" w:themeShade="1A"/>
          <w:sz w:val="24"/>
          <w:szCs w:val="24"/>
        </w:rPr>
        <w:t>,</w:t>
      </w:r>
      <w:r w:rsidR="00BB6860" w:rsidRPr="00D96F57">
        <w:rPr>
          <w:color w:val="1A1A1A" w:themeColor="background1" w:themeShade="1A"/>
          <w:sz w:val="24"/>
          <w:szCs w:val="24"/>
        </w:rPr>
        <w:t xml:space="preserve"> </w:t>
      </w:r>
      <w:r w:rsidR="00095205" w:rsidRPr="00D96F57">
        <w:rPr>
          <w:color w:val="1A1A1A" w:themeColor="background1" w:themeShade="1A"/>
          <w:sz w:val="24"/>
          <w:szCs w:val="24"/>
        </w:rPr>
        <w:t xml:space="preserve">may </w:t>
      </w:r>
      <w:r w:rsidR="00465B11" w:rsidRPr="00D96F57">
        <w:rPr>
          <w:color w:val="1A1A1A" w:themeColor="background1" w:themeShade="1A"/>
          <w:sz w:val="24"/>
          <w:szCs w:val="24"/>
        </w:rPr>
        <w:t>w</w:t>
      </w:r>
      <w:r w:rsidR="00D158CF" w:rsidRPr="00D96F57">
        <w:rPr>
          <w:color w:val="1A1A1A" w:themeColor="background1" w:themeShade="1A"/>
          <w:sz w:val="24"/>
          <w:szCs w:val="24"/>
        </w:rPr>
        <w:t xml:space="preserve">ell </w:t>
      </w:r>
      <w:r w:rsidR="00231EB8" w:rsidRPr="00D96F57">
        <w:rPr>
          <w:color w:val="1A1A1A" w:themeColor="background1" w:themeShade="1A"/>
          <w:sz w:val="24"/>
          <w:szCs w:val="24"/>
        </w:rPr>
        <w:t xml:space="preserve">find its way abroad where it may </w:t>
      </w:r>
      <w:r w:rsidR="00465B11" w:rsidRPr="00D96F57">
        <w:rPr>
          <w:color w:val="1A1A1A" w:themeColor="background1" w:themeShade="1A"/>
          <w:sz w:val="24"/>
          <w:szCs w:val="24"/>
        </w:rPr>
        <w:t>not have the same privacy protections that the UK currently requires.</w:t>
      </w:r>
      <w:r w:rsidR="00465B11" w:rsidRPr="00D96F57">
        <w:rPr>
          <w:color w:val="3366FF"/>
          <w:sz w:val="24"/>
          <w:szCs w:val="24"/>
        </w:rPr>
        <w:t xml:space="preserve"> </w:t>
      </w:r>
    </w:p>
    <w:p w14:paraId="176BFA50" w14:textId="77777777" w:rsidR="00323683" w:rsidRPr="00D96F57" w:rsidRDefault="00323683" w:rsidP="006C55C8">
      <w:pPr>
        <w:rPr>
          <w:sz w:val="24"/>
          <w:szCs w:val="24"/>
        </w:rPr>
      </w:pPr>
    </w:p>
    <w:p w14:paraId="246E91D3" w14:textId="77777777" w:rsidR="00D400C5" w:rsidRPr="00D96F57" w:rsidRDefault="00D400C5" w:rsidP="006C55C8">
      <w:pPr>
        <w:rPr>
          <w:b/>
          <w:bCs/>
          <w:color w:val="1A1A1A" w:themeColor="background1" w:themeShade="1A"/>
          <w:sz w:val="24"/>
          <w:szCs w:val="24"/>
        </w:rPr>
      </w:pPr>
      <w:r w:rsidRPr="00D96F57">
        <w:rPr>
          <w:b/>
          <w:bCs/>
          <w:color w:val="1A1A1A" w:themeColor="background1" w:themeShade="1A"/>
          <w:sz w:val="24"/>
          <w:szCs w:val="24"/>
        </w:rPr>
        <w:t>Conclusion</w:t>
      </w:r>
    </w:p>
    <w:p w14:paraId="40DD1F6C" w14:textId="77777777" w:rsidR="00D400C5" w:rsidRPr="00D96F57" w:rsidRDefault="00D400C5" w:rsidP="00D400C5">
      <w:pPr>
        <w:ind w:left="360"/>
        <w:rPr>
          <w:b/>
          <w:bCs/>
          <w:color w:val="3366FF"/>
          <w:sz w:val="24"/>
          <w:szCs w:val="24"/>
        </w:rPr>
      </w:pPr>
    </w:p>
    <w:p w14:paraId="7E0B4EEB" w14:textId="77777777" w:rsidR="00D400C5" w:rsidRPr="00D96F57" w:rsidRDefault="00D400C5" w:rsidP="00D400C5">
      <w:pPr>
        <w:numPr>
          <w:ilvl w:val="0"/>
          <w:numId w:val="2"/>
        </w:numPr>
        <w:contextualSpacing/>
        <w:rPr>
          <w:sz w:val="24"/>
          <w:szCs w:val="24"/>
        </w:rPr>
      </w:pPr>
      <w:r w:rsidRPr="00D96F57">
        <w:rPr>
          <w:sz w:val="24"/>
          <w:szCs w:val="24"/>
        </w:rPr>
        <w:t xml:space="preserve">KONP finds the problems identified with the Bill are substantial, </w:t>
      </w:r>
      <w:r w:rsidR="002D4495" w:rsidRPr="00D96F57">
        <w:rPr>
          <w:sz w:val="24"/>
          <w:szCs w:val="24"/>
        </w:rPr>
        <w:t xml:space="preserve">with serious </w:t>
      </w:r>
      <w:r w:rsidRPr="00D96F57">
        <w:rPr>
          <w:sz w:val="24"/>
          <w:szCs w:val="24"/>
        </w:rPr>
        <w:t>implications for the future of the NHS as a comprehensi</w:t>
      </w:r>
      <w:r w:rsidR="0064375A" w:rsidRPr="00D96F57">
        <w:rPr>
          <w:sz w:val="24"/>
          <w:szCs w:val="24"/>
        </w:rPr>
        <w:t>ve, universal healthcare system</w:t>
      </w:r>
      <w:r w:rsidRPr="00D96F57">
        <w:rPr>
          <w:sz w:val="24"/>
          <w:szCs w:val="24"/>
        </w:rPr>
        <w:t xml:space="preserve"> </w:t>
      </w:r>
      <w:r w:rsidR="00BD1FC8" w:rsidRPr="00D96F57">
        <w:rPr>
          <w:sz w:val="24"/>
          <w:szCs w:val="24"/>
        </w:rPr>
        <w:t xml:space="preserve">that is publicly funded and </w:t>
      </w:r>
      <w:r w:rsidRPr="00D96F57">
        <w:rPr>
          <w:sz w:val="24"/>
          <w:szCs w:val="24"/>
        </w:rPr>
        <w:t xml:space="preserve">publicly accountable. </w:t>
      </w:r>
      <w:r w:rsidR="00B0207D" w:rsidRPr="00D96F57">
        <w:rPr>
          <w:sz w:val="24"/>
          <w:szCs w:val="24"/>
        </w:rPr>
        <w:t>There are also</w:t>
      </w:r>
      <w:r w:rsidRPr="00D96F57">
        <w:rPr>
          <w:sz w:val="24"/>
          <w:szCs w:val="24"/>
        </w:rPr>
        <w:t xml:space="preserve"> serious concerns for patient safety </w:t>
      </w:r>
      <w:r w:rsidR="00911D43" w:rsidRPr="00D96F57">
        <w:rPr>
          <w:sz w:val="24"/>
          <w:szCs w:val="24"/>
        </w:rPr>
        <w:t xml:space="preserve">with the proposed </w:t>
      </w:r>
      <w:r w:rsidRPr="00D96F57">
        <w:rPr>
          <w:sz w:val="24"/>
          <w:szCs w:val="24"/>
        </w:rPr>
        <w:t xml:space="preserve">future deregulation of the professions and the </w:t>
      </w:r>
      <w:r w:rsidR="003C009A" w:rsidRPr="00D96F57">
        <w:rPr>
          <w:sz w:val="24"/>
          <w:szCs w:val="24"/>
        </w:rPr>
        <w:t>‘</w:t>
      </w:r>
      <w:r w:rsidRPr="00D96F57">
        <w:rPr>
          <w:sz w:val="24"/>
          <w:szCs w:val="24"/>
        </w:rPr>
        <w:t>flexible</w:t>
      </w:r>
      <w:r w:rsidR="003C009A" w:rsidRPr="00D96F57">
        <w:rPr>
          <w:sz w:val="24"/>
          <w:szCs w:val="24"/>
        </w:rPr>
        <w:t>’</w:t>
      </w:r>
      <w:r w:rsidRPr="00D96F57">
        <w:rPr>
          <w:sz w:val="24"/>
          <w:szCs w:val="24"/>
        </w:rPr>
        <w:t xml:space="preserve"> working it endorse</w:t>
      </w:r>
      <w:r w:rsidR="0064375A" w:rsidRPr="00D96F57">
        <w:rPr>
          <w:sz w:val="24"/>
          <w:szCs w:val="24"/>
        </w:rPr>
        <w:t>s</w:t>
      </w:r>
      <w:r w:rsidR="00E45B17" w:rsidRPr="00D96F57">
        <w:rPr>
          <w:sz w:val="24"/>
          <w:szCs w:val="24"/>
        </w:rPr>
        <w:t xml:space="preserve"> that </w:t>
      </w:r>
      <w:r w:rsidRPr="00D96F57">
        <w:rPr>
          <w:sz w:val="24"/>
          <w:szCs w:val="24"/>
        </w:rPr>
        <w:t xml:space="preserve">will only serve to undermine </w:t>
      </w:r>
      <w:r w:rsidR="00692E9E" w:rsidRPr="00D96F57">
        <w:rPr>
          <w:sz w:val="24"/>
          <w:szCs w:val="24"/>
        </w:rPr>
        <w:t xml:space="preserve">further </w:t>
      </w:r>
      <w:r w:rsidRPr="00D96F57">
        <w:rPr>
          <w:sz w:val="24"/>
          <w:szCs w:val="24"/>
        </w:rPr>
        <w:t xml:space="preserve">the morale of staff. </w:t>
      </w:r>
    </w:p>
    <w:p w14:paraId="12DF81AA" w14:textId="77777777" w:rsidR="00D400C5" w:rsidRPr="00D96F57" w:rsidRDefault="00D400C5" w:rsidP="00D400C5">
      <w:pPr>
        <w:ind w:left="720"/>
        <w:contextualSpacing/>
        <w:rPr>
          <w:sz w:val="24"/>
          <w:szCs w:val="24"/>
        </w:rPr>
      </w:pPr>
    </w:p>
    <w:p w14:paraId="237E06A4" w14:textId="77777777" w:rsidR="00EF20C3" w:rsidRPr="00D96F57" w:rsidRDefault="00D400C5" w:rsidP="00291988">
      <w:pPr>
        <w:pStyle w:val="ListParagraph"/>
        <w:numPr>
          <w:ilvl w:val="0"/>
          <w:numId w:val="2"/>
        </w:numPr>
        <w:rPr>
          <w:sz w:val="24"/>
          <w:szCs w:val="24"/>
        </w:rPr>
      </w:pPr>
      <w:r w:rsidRPr="00D96F57">
        <w:rPr>
          <w:sz w:val="24"/>
          <w:szCs w:val="24"/>
        </w:rPr>
        <w:t>At the same time, the Bill does nothing t</w:t>
      </w:r>
      <w:r w:rsidR="006463F2" w:rsidRPr="00D96F57">
        <w:rPr>
          <w:sz w:val="24"/>
          <w:szCs w:val="24"/>
        </w:rPr>
        <w:t>o</w:t>
      </w:r>
      <w:r w:rsidR="00D3344C" w:rsidRPr="00D96F57">
        <w:rPr>
          <w:sz w:val="24"/>
          <w:szCs w:val="24"/>
        </w:rPr>
        <w:t xml:space="preserve"> address: </w:t>
      </w:r>
      <w:r w:rsidR="00007688" w:rsidRPr="00D96F57">
        <w:rPr>
          <w:sz w:val="24"/>
          <w:szCs w:val="24"/>
        </w:rPr>
        <w:t>the serious inadequacy of</w:t>
      </w:r>
      <w:r w:rsidRPr="00D96F57">
        <w:rPr>
          <w:sz w:val="24"/>
          <w:szCs w:val="24"/>
        </w:rPr>
        <w:t xml:space="preserve"> local, primary medical services, community, mental health and hospital services (e.g.</w:t>
      </w:r>
      <w:r w:rsidR="002E2B13" w:rsidRPr="00D96F57">
        <w:rPr>
          <w:sz w:val="24"/>
          <w:szCs w:val="24"/>
        </w:rPr>
        <w:t xml:space="preserve"> </w:t>
      </w:r>
      <w:r w:rsidRPr="00D96F57">
        <w:rPr>
          <w:sz w:val="24"/>
          <w:szCs w:val="24"/>
        </w:rPr>
        <w:t xml:space="preserve">staffing and beds) </w:t>
      </w:r>
      <w:r w:rsidR="00DE0B15" w:rsidRPr="00D96F57">
        <w:rPr>
          <w:sz w:val="24"/>
          <w:szCs w:val="24"/>
        </w:rPr>
        <w:t xml:space="preserve">after years of </w:t>
      </w:r>
      <w:r w:rsidR="009A70C0" w:rsidRPr="00D96F57">
        <w:rPr>
          <w:sz w:val="24"/>
          <w:szCs w:val="24"/>
        </w:rPr>
        <w:t xml:space="preserve">underfunding, </w:t>
      </w:r>
      <w:r w:rsidR="00DE0B15" w:rsidRPr="00D96F57">
        <w:rPr>
          <w:sz w:val="24"/>
          <w:szCs w:val="24"/>
        </w:rPr>
        <w:t>service closures and cut</w:t>
      </w:r>
      <w:r w:rsidR="00EF20C3" w:rsidRPr="00D96F57">
        <w:rPr>
          <w:sz w:val="24"/>
          <w:szCs w:val="24"/>
        </w:rPr>
        <w:t>s</w:t>
      </w:r>
      <w:r w:rsidR="00EC352E" w:rsidRPr="00D96F57">
        <w:rPr>
          <w:sz w:val="24"/>
          <w:szCs w:val="24"/>
        </w:rPr>
        <w:t>;</w:t>
      </w:r>
      <w:r w:rsidR="00291988" w:rsidRPr="00D96F57">
        <w:rPr>
          <w:sz w:val="24"/>
          <w:szCs w:val="24"/>
        </w:rPr>
        <w:t xml:space="preserve"> the corporate take-overs of GP services;</w:t>
      </w:r>
      <w:r w:rsidR="00F30F0D" w:rsidRPr="00D96F57">
        <w:rPr>
          <w:sz w:val="24"/>
          <w:szCs w:val="24"/>
        </w:rPr>
        <w:t xml:space="preserve"> </w:t>
      </w:r>
      <w:r w:rsidR="00291988" w:rsidRPr="00D96F57">
        <w:rPr>
          <w:sz w:val="24"/>
          <w:szCs w:val="24"/>
        </w:rPr>
        <w:t>t</w:t>
      </w:r>
      <w:r w:rsidR="009B4AF3" w:rsidRPr="00D96F57">
        <w:rPr>
          <w:sz w:val="24"/>
          <w:szCs w:val="24"/>
        </w:rPr>
        <w:t xml:space="preserve">he broken social care system; </w:t>
      </w:r>
      <w:r w:rsidRPr="00D96F57">
        <w:rPr>
          <w:sz w:val="24"/>
          <w:szCs w:val="24"/>
        </w:rPr>
        <w:t>the</w:t>
      </w:r>
      <w:r w:rsidR="007971C7" w:rsidRPr="00D96F57">
        <w:rPr>
          <w:sz w:val="24"/>
          <w:szCs w:val="24"/>
        </w:rPr>
        <w:t xml:space="preserve"> </w:t>
      </w:r>
      <w:r w:rsidRPr="00D96F57">
        <w:rPr>
          <w:sz w:val="24"/>
          <w:szCs w:val="24"/>
        </w:rPr>
        <w:t xml:space="preserve">failings of the centralised communicable disease control system, and </w:t>
      </w:r>
      <w:r w:rsidR="006D5D04" w:rsidRPr="00D96F57">
        <w:rPr>
          <w:sz w:val="24"/>
          <w:szCs w:val="24"/>
        </w:rPr>
        <w:t xml:space="preserve">the </w:t>
      </w:r>
      <w:r w:rsidRPr="00D96F57">
        <w:rPr>
          <w:sz w:val="24"/>
          <w:szCs w:val="24"/>
        </w:rPr>
        <w:t>wider public health system</w:t>
      </w:r>
      <w:r w:rsidR="00F30F0D" w:rsidRPr="00D96F57">
        <w:rPr>
          <w:sz w:val="24"/>
          <w:szCs w:val="24"/>
        </w:rPr>
        <w:t>.</w:t>
      </w:r>
      <w:r w:rsidR="004B2138" w:rsidRPr="00D96F57">
        <w:rPr>
          <w:sz w:val="24"/>
          <w:szCs w:val="24"/>
        </w:rPr>
        <w:t xml:space="preserve"> </w:t>
      </w:r>
    </w:p>
    <w:p w14:paraId="34D177AD" w14:textId="77777777" w:rsidR="00EF20C3" w:rsidRPr="00D96F57" w:rsidRDefault="00EF20C3" w:rsidP="00EF20C3">
      <w:pPr>
        <w:pStyle w:val="ListParagraph"/>
        <w:rPr>
          <w:b/>
          <w:bCs/>
          <w:sz w:val="24"/>
          <w:szCs w:val="24"/>
        </w:rPr>
      </w:pPr>
    </w:p>
    <w:p w14:paraId="62E9073B" w14:textId="77777777" w:rsidR="00510B9B" w:rsidRPr="00D96F57" w:rsidRDefault="00B0655A" w:rsidP="00EF20C3">
      <w:pPr>
        <w:rPr>
          <w:b/>
          <w:bCs/>
          <w:sz w:val="24"/>
          <w:szCs w:val="24"/>
        </w:rPr>
      </w:pPr>
      <w:r w:rsidRPr="00D96F57">
        <w:rPr>
          <w:b/>
          <w:bCs/>
          <w:sz w:val="24"/>
          <w:szCs w:val="24"/>
        </w:rPr>
        <w:t>Recommendation</w:t>
      </w:r>
      <w:r w:rsidR="00F33C19" w:rsidRPr="00D96F57">
        <w:rPr>
          <w:b/>
          <w:bCs/>
          <w:sz w:val="24"/>
          <w:szCs w:val="24"/>
        </w:rPr>
        <w:t>s</w:t>
      </w:r>
    </w:p>
    <w:p w14:paraId="20C7450B" w14:textId="77777777" w:rsidR="00B8202B" w:rsidRPr="00D96F57" w:rsidRDefault="00B8202B" w:rsidP="00EF20C3">
      <w:pPr>
        <w:rPr>
          <w:sz w:val="24"/>
          <w:szCs w:val="24"/>
        </w:rPr>
      </w:pPr>
    </w:p>
    <w:p w14:paraId="17B06BF9" w14:textId="77777777" w:rsidR="00B0655A" w:rsidRPr="00D96F57" w:rsidRDefault="008A3014" w:rsidP="00224257">
      <w:pPr>
        <w:pStyle w:val="ListParagraph"/>
        <w:numPr>
          <w:ilvl w:val="0"/>
          <w:numId w:val="2"/>
        </w:numPr>
        <w:rPr>
          <w:sz w:val="24"/>
          <w:szCs w:val="24"/>
        </w:rPr>
      </w:pPr>
      <w:r w:rsidRPr="00D96F57">
        <w:rPr>
          <w:sz w:val="24"/>
          <w:szCs w:val="24"/>
        </w:rPr>
        <w:t>There should be</w:t>
      </w:r>
      <w:r w:rsidR="00FD2E1E" w:rsidRPr="00D96F57">
        <w:rPr>
          <w:sz w:val="24"/>
          <w:szCs w:val="24"/>
        </w:rPr>
        <w:t>:</w:t>
      </w:r>
      <w:r w:rsidRPr="00D96F57">
        <w:rPr>
          <w:sz w:val="24"/>
          <w:szCs w:val="24"/>
        </w:rPr>
        <w:t xml:space="preserve"> an </w:t>
      </w:r>
      <w:r w:rsidR="005421A0" w:rsidRPr="00D96F57">
        <w:rPr>
          <w:sz w:val="24"/>
          <w:szCs w:val="24"/>
        </w:rPr>
        <w:t xml:space="preserve">immediate halt to </w:t>
      </w:r>
      <w:r w:rsidR="00F33C19" w:rsidRPr="00D96F57">
        <w:rPr>
          <w:sz w:val="24"/>
          <w:szCs w:val="24"/>
        </w:rPr>
        <w:t>the progress</w:t>
      </w:r>
      <w:r w:rsidR="00F47085" w:rsidRPr="00D96F57">
        <w:rPr>
          <w:sz w:val="24"/>
          <w:szCs w:val="24"/>
        </w:rPr>
        <w:t xml:space="preserve"> of the Health and Care B</w:t>
      </w:r>
      <w:r w:rsidR="005421A0" w:rsidRPr="00D96F57">
        <w:rPr>
          <w:sz w:val="24"/>
          <w:szCs w:val="24"/>
        </w:rPr>
        <w:t xml:space="preserve">ill and </w:t>
      </w:r>
      <w:r w:rsidR="00415215" w:rsidRPr="00D96F57">
        <w:rPr>
          <w:sz w:val="24"/>
          <w:szCs w:val="24"/>
        </w:rPr>
        <w:t>the rollout of ICSs</w:t>
      </w:r>
      <w:r w:rsidR="00FD2E1E" w:rsidRPr="00D96F57">
        <w:rPr>
          <w:sz w:val="24"/>
          <w:szCs w:val="24"/>
        </w:rPr>
        <w:t xml:space="preserve">; an </w:t>
      </w:r>
      <w:r w:rsidR="00415215" w:rsidRPr="00D96F57">
        <w:rPr>
          <w:sz w:val="24"/>
          <w:szCs w:val="24"/>
        </w:rPr>
        <w:t>extended and meaningful consultation with the public and Parliament to decide how health and social care services are provided in England</w:t>
      </w:r>
      <w:r w:rsidR="00224257" w:rsidRPr="00D96F57">
        <w:rPr>
          <w:sz w:val="24"/>
          <w:szCs w:val="24"/>
        </w:rPr>
        <w:t xml:space="preserve">; </w:t>
      </w:r>
      <w:r w:rsidR="00415215" w:rsidRPr="00D96F57">
        <w:rPr>
          <w:sz w:val="24"/>
          <w:szCs w:val="24"/>
        </w:rPr>
        <w:t>the introduction of legislation to bring about a universal, comprehensive and publicly provided NHS, fit for the 21st century</w:t>
      </w:r>
      <w:r w:rsidR="00334442" w:rsidRPr="00D96F57">
        <w:rPr>
          <w:sz w:val="24"/>
          <w:szCs w:val="24"/>
        </w:rPr>
        <w:t xml:space="preserve"> </w:t>
      </w:r>
      <w:r w:rsidR="00BA0A0A" w:rsidRPr="00D96F57">
        <w:rPr>
          <w:sz w:val="24"/>
          <w:szCs w:val="24"/>
        </w:rPr>
        <w:t>as set out in the NHS Bill</w:t>
      </w:r>
      <w:r w:rsidR="0082189C" w:rsidRPr="00D96F57">
        <w:rPr>
          <w:rStyle w:val="FootnoteReference"/>
          <w:sz w:val="24"/>
          <w:szCs w:val="24"/>
        </w:rPr>
        <w:footnoteReference w:id="33"/>
      </w:r>
      <w:r w:rsidR="00543EAD" w:rsidRPr="00D96F57">
        <w:rPr>
          <w:sz w:val="24"/>
          <w:szCs w:val="24"/>
        </w:rPr>
        <w:t>.</w:t>
      </w:r>
    </w:p>
    <w:sectPr w:rsidR="00B0655A" w:rsidRPr="00D96F57" w:rsidSect="00BF19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0F1B" w14:textId="77777777" w:rsidR="007B0D1F" w:rsidRDefault="007B0D1F" w:rsidP="00D400C5">
      <w:r>
        <w:separator/>
      </w:r>
    </w:p>
  </w:endnote>
  <w:endnote w:type="continuationSeparator" w:id="0">
    <w:p w14:paraId="566DDBC0" w14:textId="77777777" w:rsidR="007B0D1F" w:rsidRDefault="007B0D1F" w:rsidP="00D4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9AAF" w14:textId="77777777" w:rsidR="007B0D1F" w:rsidRDefault="007B0D1F" w:rsidP="00D400C5">
      <w:r>
        <w:separator/>
      </w:r>
    </w:p>
  </w:footnote>
  <w:footnote w:type="continuationSeparator" w:id="0">
    <w:p w14:paraId="01F02F08" w14:textId="77777777" w:rsidR="007B0D1F" w:rsidRDefault="007B0D1F" w:rsidP="00D400C5">
      <w:r>
        <w:continuationSeparator/>
      </w:r>
    </w:p>
  </w:footnote>
  <w:footnote w:id="1">
    <w:p w14:paraId="4FEAC596" w14:textId="77777777" w:rsidR="008F1190" w:rsidRDefault="008F1190">
      <w:pPr>
        <w:pStyle w:val="FootnoteText"/>
      </w:pPr>
      <w:r>
        <w:rPr>
          <w:rStyle w:val="FootnoteReference"/>
        </w:rPr>
        <w:footnoteRef/>
      </w:r>
      <w:r>
        <w:t xml:space="preserve"> </w:t>
      </w:r>
      <w:hyperlink r:id="rId1" w:history="1">
        <w:r w:rsidRPr="00114F9D">
          <w:rPr>
            <w:rStyle w:val="Hyperlink"/>
          </w:rPr>
          <w:t>https://www.england.nhs.uk/wp-content/uploads/2019/08/13-Whole-Population-Budget-Overview.pdf</w:t>
        </w:r>
      </w:hyperlink>
    </w:p>
  </w:footnote>
  <w:footnote w:id="2">
    <w:p w14:paraId="7CAAFC2E" w14:textId="77777777" w:rsidR="008F1190" w:rsidRDefault="008F1190">
      <w:pPr>
        <w:pStyle w:val="FootnoteText"/>
      </w:pPr>
      <w:r>
        <w:rPr>
          <w:rStyle w:val="FootnoteReference"/>
        </w:rPr>
        <w:footnoteRef/>
      </w:r>
      <w:r>
        <w:t xml:space="preserve"> </w:t>
      </w:r>
      <w:hyperlink r:id="rId2" w:history="1">
        <w:r w:rsidRPr="00F6208B">
          <w:rPr>
            <w:rStyle w:val="Hyperlink"/>
          </w:rPr>
          <w:t>https://www.bmj.com/content/365/bmj.l2326</w:t>
        </w:r>
      </w:hyperlink>
      <w:r>
        <w:t xml:space="preserve"> </w:t>
      </w:r>
    </w:p>
  </w:footnote>
  <w:footnote w:id="3">
    <w:p w14:paraId="4699781B" w14:textId="77777777" w:rsidR="008F1190" w:rsidRDefault="008F1190">
      <w:pPr>
        <w:pStyle w:val="FootnoteText"/>
      </w:pPr>
      <w:r>
        <w:rPr>
          <w:rStyle w:val="FootnoteReference"/>
        </w:rPr>
        <w:footnoteRef/>
      </w:r>
      <w:r>
        <w:t xml:space="preserve"> </w:t>
      </w:r>
      <w:hyperlink r:id="rId3" w:history="1">
        <w:r w:rsidRPr="00F6208B">
          <w:rPr>
            <w:rStyle w:val="Hyperlink"/>
          </w:rPr>
          <w:t>https://inews.co.uk/news/health/nhs-routine-surgery-hip-knee-replacements-savings-76769</w:t>
        </w:r>
      </w:hyperlink>
      <w:r>
        <w:t xml:space="preserve"> </w:t>
      </w:r>
    </w:p>
  </w:footnote>
  <w:footnote w:id="4">
    <w:p w14:paraId="08A18658" w14:textId="77777777" w:rsidR="008F1190" w:rsidRDefault="008F1190">
      <w:pPr>
        <w:pStyle w:val="FootnoteText"/>
      </w:pPr>
      <w:r>
        <w:rPr>
          <w:rStyle w:val="FootnoteReference"/>
        </w:rPr>
        <w:footnoteRef/>
      </w:r>
      <w:r>
        <w:t xml:space="preserve"> </w:t>
      </w:r>
      <w:r w:rsidRPr="008B779B">
        <w:t xml:space="preserve">Fisher, Elliott S.; </w:t>
      </w:r>
      <w:proofErr w:type="spellStart"/>
      <w:r w:rsidRPr="008B779B">
        <w:t>Staiger</w:t>
      </w:r>
      <w:proofErr w:type="spellEnd"/>
      <w:r w:rsidRPr="008B779B">
        <w:t xml:space="preserve">, Douglas O.; Bynum, Julie P. W.; Gottlieb, Daniel J. (2007-01-01). </w:t>
      </w:r>
      <w:r>
        <w:t xml:space="preserve">Creating Accountable Care Organizations: The Extended Hospital Medical Staff. A new approach to organizing care and ensuring accountability </w:t>
      </w:r>
      <w:hyperlink r:id="rId4" w:history="1">
        <w:r w:rsidRPr="00F2222A">
          <w:rPr>
            <w:rStyle w:val="Hyperlink"/>
          </w:rPr>
          <w:t>https://www.ncbi.nlm.nih.gov/pmc/articles/PMC2131738/</w:t>
        </w:r>
      </w:hyperlink>
      <w:r>
        <w:t xml:space="preserve"> </w:t>
      </w:r>
    </w:p>
  </w:footnote>
  <w:footnote w:id="5">
    <w:p w14:paraId="37AB8BFA" w14:textId="77777777" w:rsidR="008F1190" w:rsidRDefault="008F1190">
      <w:pPr>
        <w:pStyle w:val="FootnoteText"/>
      </w:pPr>
      <w:r>
        <w:rPr>
          <w:rStyle w:val="FootnoteReference"/>
        </w:rPr>
        <w:footnoteRef/>
      </w:r>
      <w:r>
        <w:t xml:space="preserve"> </w:t>
      </w:r>
      <w:r w:rsidRPr="006F3416">
        <w:t>Clause 23 – inserting new section</w:t>
      </w:r>
      <w:r>
        <w:t>s</w:t>
      </w:r>
      <w:r w:rsidRPr="006F3416">
        <w:t xml:space="preserve"> </w:t>
      </w:r>
      <w:r>
        <w:t xml:space="preserve">223C, </w:t>
      </w:r>
      <w:r w:rsidRPr="006F3416">
        <w:t>223GB</w:t>
      </w:r>
      <w:r>
        <w:t>, 233N and</w:t>
      </w:r>
      <w:r w:rsidRPr="006F3416">
        <w:t xml:space="preserve"> </w:t>
      </w:r>
      <w:r>
        <w:t xml:space="preserve">223LA into </w:t>
      </w:r>
      <w:r w:rsidRPr="006F3416">
        <w:t>the 2006 Act: Power to impose financial requirements on ICBs</w:t>
      </w:r>
    </w:p>
  </w:footnote>
  <w:footnote w:id="6">
    <w:p w14:paraId="4B25BD87" w14:textId="77777777" w:rsidR="008F1190" w:rsidRPr="00DF1819" w:rsidRDefault="008F1190">
      <w:pPr>
        <w:pStyle w:val="FootnoteText"/>
        <w:rPr>
          <w:lang w:val="en-US"/>
        </w:rPr>
      </w:pPr>
      <w:r>
        <w:rPr>
          <w:rStyle w:val="FootnoteReference"/>
        </w:rPr>
        <w:footnoteRef/>
      </w:r>
      <w:r>
        <w:t xml:space="preserve"> </w:t>
      </w:r>
      <w:r w:rsidRPr="00DF1819">
        <w:t>Schedule 10 of the Bill. At 114A (3) (e), 114A (6)</w:t>
      </w:r>
      <w:r>
        <w:t xml:space="preserve">, </w:t>
      </w:r>
      <w:r w:rsidRPr="00DF1819">
        <w:t>the Rules for the Payment Scheme which are set by NHS England</w:t>
      </w:r>
    </w:p>
  </w:footnote>
  <w:footnote w:id="7">
    <w:p w14:paraId="01E4B75E" w14:textId="77777777" w:rsidR="008F1190" w:rsidRPr="00B854E9" w:rsidRDefault="008F1190" w:rsidP="00B854E9">
      <w:pPr>
        <w:rPr>
          <w:sz w:val="20"/>
          <w:szCs w:val="20"/>
        </w:rPr>
      </w:pPr>
      <w:r>
        <w:rPr>
          <w:rStyle w:val="FootnoteReference"/>
        </w:rPr>
        <w:footnoteRef/>
      </w:r>
      <w:r>
        <w:t xml:space="preserve"> </w:t>
      </w:r>
      <w:r w:rsidRPr="005C524C">
        <w:rPr>
          <w:sz w:val="20"/>
          <w:szCs w:val="20"/>
        </w:rPr>
        <w:t xml:space="preserve">At 114C Private firms can qualify under (8) (a) as licence holders include </w:t>
      </w:r>
      <w:r>
        <w:rPr>
          <w:sz w:val="20"/>
          <w:szCs w:val="20"/>
        </w:rPr>
        <w:t>‘</w:t>
      </w:r>
      <w:r w:rsidRPr="005C524C">
        <w:rPr>
          <w:sz w:val="20"/>
          <w:szCs w:val="20"/>
        </w:rPr>
        <w:t>independent providers</w:t>
      </w:r>
      <w:r>
        <w:rPr>
          <w:sz w:val="20"/>
          <w:szCs w:val="20"/>
        </w:rPr>
        <w:t>’</w:t>
      </w:r>
      <w:r w:rsidRPr="005C524C">
        <w:rPr>
          <w:sz w:val="20"/>
          <w:szCs w:val="20"/>
        </w:rPr>
        <w:t xml:space="preserve"> or under (b) (</w:t>
      </w:r>
      <w:proofErr w:type="spellStart"/>
      <w:r w:rsidRPr="005C524C">
        <w:rPr>
          <w:sz w:val="20"/>
          <w:szCs w:val="20"/>
        </w:rPr>
        <w:t>i</w:t>
      </w:r>
      <w:proofErr w:type="spellEnd"/>
      <w:r w:rsidRPr="005C524C">
        <w:rPr>
          <w:sz w:val="20"/>
          <w:szCs w:val="20"/>
        </w:rPr>
        <w:t xml:space="preserve">) which is a catch-all for services provided </w:t>
      </w:r>
      <w:r>
        <w:rPr>
          <w:sz w:val="20"/>
          <w:szCs w:val="20"/>
        </w:rPr>
        <w:t>‘</w:t>
      </w:r>
      <w:r w:rsidRPr="005C524C">
        <w:rPr>
          <w:sz w:val="20"/>
          <w:szCs w:val="20"/>
        </w:rPr>
        <w:t>for the purposes of the NHS</w:t>
      </w:r>
      <w:r>
        <w:rPr>
          <w:sz w:val="20"/>
          <w:szCs w:val="20"/>
        </w:rPr>
        <w:t>’</w:t>
      </w:r>
      <w:r w:rsidRPr="005C524C">
        <w:rPr>
          <w:sz w:val="20"/>
          <w:szCs w:val="20"/>
        </w:rPr>
        <w:t xml:space="preserve"> or under (b) (ii).</w:t>
      </w:r>
    </w:p>
  </w:footnote>
  <w:footnote w:id="8">
    <w:p w14:paraId="3E5B4406" w14:textId="77777777" w:rsidR="008F1190" w:rsidRPr="00C34C5A" w:rsidRDefault="008F1190" w:rsidP="002000EF">
      <w:pPr>
        <w:rPr>
          <w:sz w:val="28"/>
          <w:szCs w:val="28"/>
        </w:rPr>
      </w:pPr>
      <w:r>
        <w:rPr>
          <w:rStyle w:val="FootnoteReference"/>
        </w:rPr>
        <w:footnoteRef/>
      </w:r>
      <w:r>
        <w:t xml:space="preserve"> </w:t>
      </w:r>
      <w:r w:rsidRPr="00E2449C">
        <w:rPr>
          <w:sz w:val="20"/>
          <w:szCs w:val="20"/>
        </w:rPr>
        <w:t xml:space="preserve">for example a health service </w:t>
      </w:r>
      <w:r>
        <w:rPr>
          <w:sz w:val="20"/>
          <w:szCs w:val="20"/>
        </w:rPr>
        <w:t xml:space="preserve">has </w:t>
      </w:r>
      <w:r w:rsidRPr="00E2449C">
        <w:rPr>
          <w:sz w:val="20"/>
          <w:szCs w:val="20"/>
        </w:rPr>
        <w:t>some social care services commissioned as part of a mixed procurement</w:t>
      </w:r>
      <w:r>
        <w:rPr>
          <w:sz w:val="20"/>
          <w:szCs w:val="20"/>
        </w:rPr>
        <w:t xml:space="preserve"> </w:t>
      </w:r>
      <w:r w:rsidRPr="00E2449C">
        <w:rPr>
          <w:sz w:val="20"/>
          <w:szCs w:val="20"/>
        </w:rPr>
        <w:t>in the interests of providing joined up care</w:t>
      </w:r>
    </w:p>
  </w:footnote>
  <w:footnote w:id="9">
    <w:p w14:paraId="4E4D80D5" w14:textId="77777777" w:rsidR="008F1190" w:rsidRPr="00C34C5A" w:rsidRDefault="008F1190">
      <w:pPr>
        <w:pStyle w:val="FootnoteText"/>
        <w:rPr>
          <w:lang w:val="en-US"/>
        </w:rPr>
      </w:pPr>
      <w:r>
        <w:rPr>
          <w:rStyle w:val="FootnoteReference"/>
        </w:rPr>
        <w:footnoteRef/>
      </w:r>
      <w:r w:rsidRPr="00C34C5A">
        <w:t xml:space="preserve">Labour laws lost are the International Labour Organisation conventions including Freedom of Assembly and the Right to Strike.  </w:t>
      </w:r>
    </w:p>
  </w:footnote>
  <w:footnote w:id="10">
    <w:p w14:paraId="0E545661" w14:textId="77777777" w:rsidR="008F1190" w:rsidRDefault="008F1190">
      <w:pPr>
        <w:pStyle w:val="FootnoteText"/>
      </w:pPr>
      <w:r>
        <w:rPr>
          <w:rStyle w:val="FootnoteReference"/>
        </w:rPr>
        <w:footnoteRef/>
      </w:r>
      <w:hyperlink r:id="rId5" w:history="1">
        <w:r w:rsidRPr="00FB0EE9">
          <w:rPr>
            <w:rStyle w:val="Hyperlink"/>
          </w:rPr>
          <w:t>http://data.parliament.uk/WrittenEvidence/CommitteeEvidence.svc/EvidenceDocument/Health%20and%20Social%20Care/NHS%20Longterm%20Plan%20legislative%20proposals/written/97675.html</w:t>
        </w:r>
      </w:hyperlink>
      <w:r>
        <w:t xml:space="preserve"> </w:t>
      </w:r>
    </w:p>
  </w:footnote>
  <w:footnote w:id="11">
    <w:p w14:paraId="54828966" w14:textId="77777777" w:rsidR="008F1190" w:rsidRDefault="008F1190">
      <w:pPr>
        <w:pStyle w:val="FootnoteText"/>
      </w:pPr>
      <w:r>
        <w:rPr>
          <w:rStyle w:val="FootnoteReference"/>
        </w:rPr>
        <w:footnoteRef/>
      </w:r>
      <w:r>
        <w:t xml:space="preserve"> </w:t>
      </w:r>
      <w:r w:rsidRPr="001F74D2">
        <w:t>NHS. Reg.12(2) PCR2015</w:t>
      </w:r>
    </w:p>
  </w:footnote>
  <w:footnote w:id="12">
    <w:p w14:paraId="2EDDF6CE" w14:textId="77777777" w:rsidR="008F1190" w:rsidRDefault="008F1190">
      <w:pPr>
        <w:pStyle w:val="FootnoteText"/>
      </w:pPr>
      <w:r>
        <w:rPr>
          <w:rStyle w:val="FootnoteReference"/>
        </w:rPr>
        <w:footnoteRef/>
      </w:r>
      <w:r>
        <w:t xml:space="preserve"> </w:t>
      </w:r>
      <w:hyperlink r:id="rId6" w:history="1">
        <w:r w:rsidRPr="00114F9D">
          <w:rPr>
            <w:rStyle w:val="Hyperlink"/>
          </w:rPr>
          <w:t>https://www.england.nhs.uk/wp-content/uploads/2021/02/B0135-provider-selection-regime-consultation.pdf</w:t>
        </w:r>
      </w:hyperlink>
    </w:p>
  </w:footnote>
  <w:footnote w:id="13">
    <w:p w14:paraId="14521421" w14:textId="77777777" w:rsidR="008F1190" w:rsidRPr="00B553E5" w:rsidRDefault="008F1190" w:rsidP="002000EF">
      <w:pPr>
        <w:rPr>
          <w:sz w:val="20"/>
          <w:szCs w:val="20"/>
        </w:rPr>
      </w:pPr>
      <w:r>
        <w:rPr>
          <w:rStyle w:val="FootnoteReference"/>
        </w:rPr>
        <w:footnoteRef/>
      </w:r>
      <w:r>
        <w:t xml:space="preserve"> </w:t>
      </w:r>
      <w:r w:rsidRPr="00992E73">
        <w:rPr>
          <w:sz w:val="20"/>
          <w:szCs w:val="20"/>
        </w:rPr>
        <w:t>Quality (safety, effectiveness and experience) and innovation, Value, Integration and collaboration, Access, inequalities and choice, and Service sustainability and social value.</w:t>
      </w:r>
    </w:p>
  </w:footnote>
  <w:footnote w:id="14">
    <w:p w14:paraId="2BDB00EB" w14:textId="77777777" w:rsidR="008F1190" w:rsidRDefault="008F1190">
      <w:pPr>
        <w:pStyle w:val="FootnoteText"/>
      </w:pPr>
      <w:r>
        <w:rPr>
          <w:rStyle w:val="FootnoteReference"/>
        </w:rPr>
        <w:footnoteRef/>
      </w:r>
      <w:r>
        <w:t xml:space="preserve"> </w:t>
      </w:r>
      <w:hyperlink r:id="rId7" w:history="1">
        <w:r w:rsidRPr="00F6208B">
          <w:rPr>
            <w:rStyle w:val="Hyperlink"/>
          </w:rPr>
          <w:t>https://www.england.nhs.uk/new-care-models/</w:t>
        </w:r>
      </w:hyperlink>
      <w:r>
        <w:t xml:space="preserve"> </w:t>
      </w:r>
    </w:p>
  </w:footnote>
  <w:footnote w:id="15">
    <w:p w14:paraId="0BBF036D" w14:textId="77777777" w:rsidR="008F1190" w:rsidRDefault="008F1190">
      <w:pPr>
        <w:pStyle w:val="FootnoteText"/>
      </w:pPr>
      <w:r>
        <w:rPr>
          <w:rStyle w:val="FootnoteReference"/>
        </w:rPr>
        <w:footnoteRef/>
      </w:r>
      <w:r>
        <w:t xml:space="preserve"> </w:t>
      </w:r>
      <w:hyperlink r:id="rId8" w:history="1">
        <w:r w:rsidRPr="00114F9D">
          <w:rPr>
            <w:rStyle w:val="Hyperlink"/>
          </w:rPr>
          <w:t>https://www.nao.org.uk/wp-content/uploads/2017/02/Health-and-social-care-integration.pdf</w:t>
        </w:r>
      </w:hyperlink>
      <w:r>
        <w:t xml:space="preserve"> </w:t>
      </w:r>
    </w:p>
  </w:footnote>
  <w:footnote w:id="16">
    <w:p w14:paraId="39F32E16" w14:textId="77777777" w:rsidR="008F1190" w:rsidRDefault="008F1190">
      <w:pPr>
        <w:pStyle w:val="FootnoteText"/>
      </w:pPr>
      <w:r>
        <w:rPr>
          <w:rStyle w:val="FootnoteReference"/>
        </w:rPr>
        <w:footnoteRef/>
      </w:r>
      <w:r>
        <w:t xml:space="preserve"> </w:t>
      </w:r>
      <w:hyperlink r:id="rId9" w:history="1">
        <w:r w:rsidRPr="0044748B">
          <w:rPr>
            <w:rStyle w:val="Hyperlink"/>
          </w:rPr>
          <w:t>https://www.bmj.com/content/365/bmj.l4375</w:t>
        </w:r>
      </w:hyperlink>
      <w:r>
        <w:t xml:space="preserve"> </w:t>
      </w:r>
    </w:p>
  </w:footnote>
  <w:footnote w:id="17">
    <w:p w14:paraId="413BD264" w14:textId="77777777" w:rsidR="008F1190" w:rsidRDefault="008F1190">
      <w:pPr>
        <w:pStyle w:val="FootnoteText"/>
      </w:pPr>
      <w:r>
        <w:rPr>
          <w:rStyle w:val="FootnoteReference"/>
        </w:rPr>
        <w:footnoteRef/>
      </w:r>
      <w:r>
        <w:t xml:space="preserve"> The</w:t>
      </w:r>
      <w:r>
        <w:rPr>
          <w:color w:val="1A1A1A" w:themeColor="background1" w:themeShade="1A"/>
        </w:rPr>
        <w:t>se</w:t>
      </w:r>
      <w:r>
        <w:t xml:space="preserve"> used to be called Procedures of Limited Clinical Effectiveness (</w:t>
      </w:r>
      <w:proofErr w:type="spellStart"/>
      <w:r>
        <w:t>PoLCEs</w:t>
      </w:r>
      <w:proofErr w:type="spellEnd"/>
      <w:r>
        <w:t xml:space="preserve">) but the immaterial nature of ‘value’ broadens the scope of what can be rationed and allows comparison with activities across the system when decisions are to be made about where not to spend the limited budget. </w:t>
      </w:r>
    </w:p>
  </w:footnote>
  <w:footnote w:id="18">
    <w:p w14:paraId="2F031C59" w14:textId="77777777" w:rsidR="008F1190" w:rsidRDefault="008F1190">
      <w:pPr>
        <w:pStyle w:val="FootnoteText"/>
      </w:pPr>
      <w:r>
        <w:rPr>
          <w:rStyle w:val="FootnoteReference"/>
        </w:rPr>
        <w:footnoteRef/>
      </w:r>
      <w:r>
        <w:t xml:space="preserve"> </w:t>
      </w:r>
      <w:hyperlink r:id="rId10" w:history="1">
        <w:r w:rsidRPr="0030360D">
          <w:rPr>
            <w:rStyle w:val="Hyperlink"/>
          </w:rPr>
          <w:t>https://www.healthemergency.org.uk/pdf/McKinsey%20report%20on%20efficiency%20in%20NHS.pdf</w:t>
        </w:r>
      </w:hyperlink>
      <w:r>
        <w:t xml:space="preserve"> </w:t>
      </w:r>
    </w:p>
  </w:footnote>
  <w:footnote w:id="19">
    <w:p w14:paraId="256349E4" w14:textId="77777777" w:rsidR="008F1190" w:rsidRDefault="008F1190">
      <w:pPr>
        <w:pStyle w:val="FootnoteText"/>
      </w:pPr>
      <w:r>
        <w:rPr>
          <w:rStyle w:val="FootnoteReference"/>
        </w:rPr>
        <w:footnoteRef/>
      </w:r>
      <w:r>
        <w:t xml:space="preserve"> EN (156-157)</w:t>
      </w:r>
    </w:p>
  </w:footnote>
  <w:footnote w:id="20">
    <w:p w14:paraId="6D167536" w14:textId="77777777" w:rsidR="008F1190" w:rsidRDefault="008F1190">
      <w:pPr>
        <w:pStyle w:val="FootnoteText"/>
      </w:pPr>
      <w:r>
        <w:rPr>
          <w:rStyle w:val="FootnoteReference"/>
        </w:rPr>
        <w:footnoteRef/>
      </w:r>
      <w:hyperlink r:id="rId11" w:history="1">
        <w:r w:rsidRPr="00F6208B">
          <w:rPr>
            <w:rStyle w:val="Hyperlink"/>
          </w:rPr>
          <w:t>https://www.ombudsman.org.uk/sites/default/files/page/A%20report%20of%20investigations%20into%20unsafe%20discharge%20from%20hospital.pdf</w:t>
        </w:r>
      </w:hyperlink>
      <w:r>
        <w:t xml:space="preserve"> </w:t>
      </w:r>
    </w:p>
  </w:footnote>
  <w:footnote w:id="21">
    <w:p w14:paraId="119B7A1A" w14:textId="77777777" w:rsidR="008F1190" w:rsidRDefault="008F1190">
      <w:pPr>
        <w:pStyle w:val="FootnoteText"/>
      </w:pPr>
      <w:r>
        <w:rPr>
          <w:rStyle w:val="FootnoteReference"/>
        </w:rPr>
        <w:footnoteRef/>
      </w:r>
      <w:r>
        <w:t xml:space="preserve"> </w:t>
      </w:r>
      <w:hyperlink r:id="rId12" w:history="1">
        <w:r w:rsidRPr="00F6208B">
          <w:rPr>
            <w:rStyle w:val="Hyperlink"/>
          </w:rPr>
          <w:t>https://www.bmj.com/content/370/bmj.m3747</w:t>
        </w:r>
      </w:hyperlink>
      <w:r>
        <w:t xml:space="preserve"> </w:t>
      </w:r>
    </w:p>
  </w:footnote>
  <w:footnote w:id="22">
    <w:p w14:paraId="14A7F710" w14:textId="77777777" w:rsidR="008F1190" w:rsidRDefault="008F1190">
      <w:pPr>
        <w:pStyle w:val="FootnoteText"/>
      </w:pPr>
      <w:r>
        <w:rPr>
          <w:rStyle w:val="FootnoteReference"/>
        </w:rPr>
        <w:footnoteRef/>
      </w:r>
      <w:r>
        <w:t xml:space="preserve"> </w:t>
      </w:r>
      <w:r w:rsidRPr="00BB3681">
        <w:t>ss.116, 116A and 116B of the Local Government and Public Involvement in Health Act 2007</w:t>
      </w:r>
    </w:p>
  </w:footnote>
  <w:footnote w:id="23">
    <w:p w14:paraId="0ABDDC76" w14:textId="77777777" w:rsidR="008F1190" w:rsidRPr="00A15F26" w:rsidRDefault="008F1190">
      <w:pPr>
        <w:pStyle w:val="FootnoteText"/>
        <w:rPr>
          <w:lang w:val="en-US"/>
        </w:rPr>
      </w:pPr>
      <w:r>
        <w:rPr>
          <w:rStyle w:val="FootnoteReference"/>
        </w:rPr>
        <w:footnoteRef/>
      </w:r>
      <w:r>
        <w:t xml:space="preserve"> </w:t>
      </w:r>
      <w:r w:rsidRPr="00A15F26">
        <w:t>Clause 20 116B</w:t>
      </w:r>
    </w:p>
  </w:footnote>
  <w:footnote w:id="24">
    <w:p w14:paraId="30BF3E76" w14:textId="77777777" w:rsidR="008F1190" w:rsidRPr="008810FC" w:rsidRDefault="008F1190" w:rsidP="002000EF">
      <w:pPr>
        <w:rPr>
          <w:sz w:val="20"/>
          <w:szCs w:val="20"/>
        </w:rPr>
      </w:pPr>
      <w:r>
        <w:rPr>
          <w:rStyle w:val="FootnoteReference"/>
        </w:rPr>
        <w:footnoteRef/>
      </w:r>
      <w:r>
        <w:t xml:space="preserve"> </w:t>
      </w:r>
      <w:r w:rsidRPr="00C9751F">
        <w:rPr>
          <w:sz w:val="20"/>
          <w:szCs w:val="20"/>
        </w:rPr>
        <w:t>Clause 38 &amp; Schedule 6; NHS Act 2006, new s.68A &amp; Schedule 10A</w:t>
      </w:r>
    </w:p>
  </w:footnote>
  <w:footnote w:id="25">
    <w:p w14:paraId="33CBF30F" w14:textId="77777777" w:rsidR="008F1190" w:rsidRDefault="008F1190">
      <w:pPr>
        <w:pStyle w:val="FootnoteText"/>
      </w:pPr>
      <w:r>
        <w:rPr>
          <w:rStyle w:val="FootnoteReference"/>
        </w:rPr>
        <w:footnoteRef/>
      </w:r>
      <w:r>
        <w:t xml:space="preserve"> </w:t>
      </w:r>
      <w:hyperlink r:id="rId13" w:history="1">
        <w:r w:rsidRPr="00CD4362">
          <w:rPr>
            <w:rStyle w:val="Hyperlink"/>
          </w:rPr>
          <w:t>https://www.england.nhs.uk/wp-content/uploads/2021/06/B0642-ics-design-framework-june-2021.pdf</w:t>
        </w:r>
      </w:hyperlink>
    </w:p>
  </w:footnote>
  <w:footnote w:id="26">
    <w:p w14:paraId="32385726" w14:textId="77777777" w:rsidR="008F1190" w:rsidRPr="00262BE1" w:rsidRDefault="008F1190">
      <w:pPr>
        <w:pStyle w:val="FootnoteText"/>
        <w:rPr>
          <w:lang w:val="en-US"/>
        </w:rPr>
      </w:pPr>
      <w:r>
        <w:rPr>
          <w:rStyle w:val="FootnoteReference"/>
        </w:rPr>
        <w:footnoteRef/>
      </w:r>
      <w:r>
        <w:t xml:space="preserve"> </w:t>
      </w:r>
      <w:hyperlink r:id="rId14" w:history="1">
        <w:r w:rsidRPr="00FB0EE9">
          <w:rPr>
            <w:rStyle w:val="Hyperlink"/>
          </w:rPr>
          <w:t>https://www.england.nhs.uk/wp-content/uploads/2020/07/We-Are-The-NHS-Action-For-All-Of-Us-FINAL-March-21.pdf</w:t>
        </w:r>
      </w:hyperlink>
      <w:r>
        <w:t xml:space="preserve"> </w:t>
      </w:r>
    </w:p>
  </w:footnote>
  <w:footnote w:id="27">
    <w:p w14:paraId="36741855" w14:textId="77777777" w:rsidR="008F1190" w:rsidRDefault="008F1190">
      <w:pPr>
        <w:pStyle w:val="FootnoteText"/>
      </w:pPr>
      <w:r>
        <w:rPr>
          <w:rStyle w:val="FootnoteReference"/>
        </w:rPr>
        <w:footnoteRef/>
      </w:r>
      <w:r>
        <w:t xml:space="preserve"> White paper 5.150 </w:t>
      </w:r>
      <w:r w:rsidRPr="00467656">
        <w:t>“over time and with changing technology the risk profile of a given profession may change and while regulation may be necessary now to protect the public, this may not be the case in the future.”</w:t>
      </w:r>
    </w:p>
  </w:footnote>
  <w:footnote w:id="28">
    <w:p w14:paraId="1ED65251" w14:textId="77777777" w:rsidR="008F1190" w:rsidRPr="00B42FEA" w:rsidRDefault="008F1190">
      <w:pPr>
        <w:pStyle w:val="FootnoteText"/>
      </w:pPr>
      <w:r>
        <w:rPr>
          <w:rStyle w:val="FootnoteReference"/>
        </w:rPr>
        <w:footnoteRef/>
      </w:r>
      <w:r>
        <w:t xml:space="preserve"> </w:t>
      </w:r>
      <w:r w:rsidRPr="00B42FEA">
        <w:t>EN-168 calls this ‘the development of a flexible workforce that is better able to meet the challenges of delivering healthcare in the future’.</w:t>
      </w:r>
    </w:p>
  </w:footnote>
  <w:footnote w:id="29">
    <w:p w14:paraId="1F20B44F" w14:textId="77777777" w:rsidR="008F1190" w:rsidRDefault="008F1190">
      <w:pPr>
        <w:pStyle w:val="FootnoteText"/>
      </w:pPr>
      <w:r>
        <w:rPr>
          <w:rStyle w:val="FootnoteReference"/>
        </w:rPr>
        <w:footnoteRef/>
      </w:r>
      <w:r>
        <w:t xml:space="preserve"> </w:t>
      </w:r>
      <w:hyperlink r:id="rId15" w:history="1">
        <w:r w:rsidRPr="00F6208B">
          <w:rPr>
            <w:rStyle w:val="Hyperlink"/>
          </w:rPr>
          <w:t>https://www.aiimi.com/insights/2020-grading-algorithm-understanding-what-went-wrong</w:t>
        </w:r>
      </w:hyperlink>
      <w:r>
        <w:t xml:space="preserve"> </w:t>
      </w:r>
    </w:p>
  </w:footnote>
  <w:footnote w:id="30">
    <w:p w14:paraId="44B20E18" w14:textId="77777777" w:rsidR="008F1190" w:rsidRPr="006458C7" w:rsidRDefault="008F1190">
      <w:pPr>
        <w:pStyle w:val="FootnoteText"/>
        <w:rPr>
          <w:lang w:val="en-US"/>
        </w:rPr>
      </w:pPr>
      <w:r>
        <w:rPr>
          <w:rStyle w:val="FootnoteReference"/>
        </w:rPr>
        <w:footnoteRef/>
      </w:r>
      <w:r>
        <w:t xml:space="preserve"> </w:t>
      </w:r>
      <w:hyperlink r:id="rId16" w:history="1">
        <w:r w:rsidRPr="004A4FE9">
          <w:rPr>
            <w:rStyle w:val="Hyperlink"/>
          </w:rPr>
          <w:t>https://www.kingsfund.org.uk/sites/default/files/2018-10/approaches-to-better-value-october2018_0.pdf</w:t>
        </w:r>
      </w:hyperlink>
      <w:r>
        <w:t xml:space="preserve"> </w:t>
      </w:r>
    </w:p>
  </w:footnote>
  <w:footnote w:id="31">
    <w:p w14:paraId="7DD38EEC" w14:textId="77777777" w:rsidR="008F1190" w:rsidRDefault="008F1190">
      <w:pPr>
        <w:pStyle w:val="FootnoteText"/>
      </w:pPr>
      <w:r>
        <w:rPr>
          <w:rStyle w:val="FootnoteReference"/>
        </w:rPr>
        <w:footnoteRef/>
      </w:r>
      <w:r>
        <w:t xml:space="preserve"> </w:t>
      </w:r>
      <w:hyperlink r:id="rId17" w:history="1">
        <w:r w:rsidRPr="0044748B">
          <w:rPr>
            <w:rStyle w:val="Hyperlink"/>
          </w:rPr>
          <w:t>https://www.england.nhs.uk/wp-content/uploads/2019/05/a-new-approach-to-community-healthcare-funding-testing-and-guidance.pdf</w:t>
        </w:r>
      </w:hyperlink>
      <w:r>
        <w:t xml:space="preserve"> </w:t>
      </w:r>
    </w:p>
  </w:footnote>
  <w:footnote w:id="32">
    <w:p w14:paraId="381EFCA1" w14:textId="77777777" w:rsidR="008F1190" w:rsidRPr="006458C7" w:rsidRDefault="008F1190">
      <w:pPr>
        <w:pStyle w:val="FootnoteText"/>
      </w:pPr>
      <w:r>
        <w:rPr>
          <w:rStyle w:val="FootnoteReference"/>
        </w:rPr>
        <w:footnoteRef/>
      </w:r>
      <w:r>
        <w:t xml:space="preserve"> </w:t>
      </w:r>
      <w:hyperlink r:id="rId18" w:history="1">
        <w:r w:rsidRPr="001F7178">
          <w:rPr>
            <w:rStyle w:val="Hyperlink"/>
          </w:rPr>
          <w:t>https://www.digitalhealth.net/2014/02/care-data-a-media-disaster/</w:t>
        </w:r>
      </w:hyperlink>
      <w:r>
        <w:t xml:space="preserve"> </w:t>
      </w:r>
    </w:p>
  </w:footnote>
  <w:footnote w:id="33">
    <w:p w14:paraId="17CE80EF" w14:textId="77777777" w:rsidR="008F1190" w:rsidRDefault="008F1190">
      <w:pPr>
        <w:pStyle w:val="FootnoteText"/>
      </w:pPr>
      <w:r>
        <w:rPr>
          <w:rStyle w:val="FootnoteReference"/>
        </w:rPr>
        <w:footnoteRef/>
      </w:r>
      <w:r>
        <w:t xml:space="preserve"> </w:t>
      </w:r>
      <w:hyperlink r:id="rId19" w:history="1">
        <w:r w:rsidRPr="00CD4362">
          <w:rPr>
            <w:rStyle w:val="Hyperlink"/>
          </w:rPr>
          <w:t>http://www.nhsbillnow.org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6405"/>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8624A"/>
    <w:multiLevelType w:val="hybridMultilevel"/>
    <w:tmpl w:val="2BD8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56AA1"/>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A934D5"/>
    <w:multiLevelType w:val="hybridMultilevel"/>
    <w:tmpl w:val="0B0E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023C0"/>
    <w:multiLevelType w:val="hybridMultilevel"/>
    <w:tmpl w:val="841A4748"/>
    <w:lvl w:ilvl="0" w:tplc="DF1824A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C5"/>
    <w:rsid w:val="00002322"/>
    <w:rsid w:val="00003E2B"/>
    <w:rsid w:val="000047B7"/>
    <w:rsid w:val="000057B9"/>
    <w:rsid w:val="00007688"/>
    <w:rsid w:val="0001337E"/>
    <w:rsid w:val="00021615"/>
    <w:rsid w:val="00025A36"/>
    <w:rsid w:val="0002605A"/>
    <w:rsid w:val="000328F2"/>
    <w:rsid w:val="0003449B"/>
    <w:rsid w:val="000368B6"/>
    <w:rsid w:val="0004772D"/>
    <w:rsid w:val="00047D23"/>
    <w:rsid w:val="000527B7"/>
    <w:rsid w:val="000539C0"/>
    <w:rsid w:val="00055549"/>
    <w:rsid w:val="000571CA"/>
    <w:rsid w:val="0006254D"/>
    <w:rsid w:val="00075F9A"/>
    <w:rsid w:val="000778A1"/>
    <w:rsid w:val="000869E8"/>
    <w:rsid w:val="00090429"/>
    <w:rsid w:val="00092926"/>
    <w:rsid w:val="00095205"/>
    <w:rsid w:val="0009596D"/>
    <w:rsid w:val="000A12A5"/>
    <w:rsid w:val="000A2136"/>
    <w:rsid w:val="000A24BC"/>
    <w:rsid w:val="000A5A3A"/>
    <w:rsid w:val="000B0B86"/>
    <w:rsid w:val="000B2D8F"/>
    <w:rsid w:val="000B4C26"/>
    <w:rsid w:val="000B7C70"/>
    <w:rsid w:val="000C6E4B"/>
    <w:rsid w:val="000D3049"/>
    <w:rsid w:val="000D3CEC"/>
    <w:rsid w:val="000D40E5"/>
    <w:rsid w:val="000D6DEA"/>
    <w:rsid w:val="000D7F43"/>
    <w:rsid w:val="000E2593"/>
    <w:rsid w:val="000E5930"/>
    <w:rsid w:val="000E74DC"/>
    <w:rsid w:val="000E78AC"/>
    <w:rsid w:val="000F1BC1"/>
    <w:rsid w:val="000F5A66"/>
    <w:rsid w:val="000F5F5D"/>
    <w:rsid w:val="000F6C9F"/>
    <w:rsid w:val="000F739C"/>
    <w:rsid w:val="001011BA"/>
    <w:rsid w:val="0010210A"/>
    <w:rsid w:val="00103BE9"/>
    <w:rsid w:val="001059C4"/>
    <w:rsid w:val="001107EB"/>
    <w:rsid w:val="001111BD"/>
    <w:rsid w:val="00113017"/>
    <w:rsid w:val="00115CD1"/>
    <w:rsid w:val="00115D46"/>
    <w:rsid w:val="00121366"/>
    <w:rsid w:val="001226C4"/>
    <w:rsid w:val="00123292"/>
    <w:rsid w:val="0012522F"/>
    <w:rsid w:val="00126C6C"/>
    <w:rsid w:val="00126FEA"/>
    <w:rsid w:val="00127A5C"/>
    <w:rsid w:val="00130066"/>
    <w:rsid w:val="001313F1"/>
    <w:rsid w:val="001403DB"/>
    <w:rsid w:val="001418AB"/>
    <w:rsid w:val="001463E5"/>
    <w:rsid w:val="00146CF1"/>
    <w:rsid w:val="00155121"/>
    <w:rsid w:val="0015696B"/>
    <w:rsid w:val="00157670"/>
    <w:rsid w:val="00163979"/>
    <w:rsid w:val="0017405B"/>
    <w:rsid w:val="00180458"/>
    <w:rsid w:val="00181789"/>
    <w:rsid w:val="00182A39"/>
    <w:rsid w:val="00182CD7"/>
    <w:rsid w:val="00195950"/>
    <w:rsid w:val="001959EF"/>
    <w:rsid w:val="001963DC"/>
    <w:rsid w:val="001A320E"/>
    <w:rsid w:val="001C5E0B"/>
    <w:rsid w:val="001C5E24"/>
    <w:rsid w:val="001D3846"/>
    <w:rsid w:val="001E164E"/>
    <w:rsid w:val="001E72FA"/>
    <w:rsid w:val="001F6CEF"/>
    <w:rsid w:val="002000EF"/>
    <w:rsid w:val="00200179"/>
    <w:rsid w:val="00202C9B"/>
    <w:rsid w:val="0022026E"/>
    <w:rsid w:val="00220AA3"/>
    <w:rsid w:val="00220B6C"/>
    <w:rsid w:val="002210E4"/>
    <w:rsid w:val="00221824"/>
    <w:rsid w:val="00224257"/>
    <w:rsid w:val="00225AB5"/>
    <w:rsid w:val="0023036B"/>
    <w:rsid w:val="002318F5"/>
    <w:rsid w:val="00231EB8"/>
    <w:rsid w:val="0023222A"/>
    <w:rsid w:val="0023644D"/>
    <w:rsid w:val="0024375E"/>
    <w:rsid w:val="00254D85"/>
    <w:rsid w:val="002577D6"/>
    <w:rsid w:val="00257C38"/>
    <w:rsid w:val="002638C5"/>
    <w:rsid w:val="00264ED1"/>
    <w:rsid w:val="00273AF7"/>
    <w:rsid w:val="00276A2C"/>
    <w:rsid w:val="00277FC1"/>
    <w:rsid w:val="00284479"/>
    <w:rsid w:val="00286752"/>
    <w:rsid w:val="00286A4D"/>
    <w:rsid w:val="00291988"/>
    <w:rsid w:val="0029532F"/>
    <w:rsid w:val="002A058D"/>
    <w:rsid w:val="002A2A3F"/>
    <w:rsid w:val="002A40BE"/>
    <w:rsid w:val="002C174E"/>
    <w:rsid w:val="002C27FC"/>
    <w:rsid w:val="002C2E6F"/>
    <w:rsid w:val="002D031F"/>
    <w:rsid w:val="002D103A"/>
    <w:rsid w:val="002D1170"/>
    <w:rsid w:val="002D4495"/>
    <w:rsid w:val="002E2B13"/>
    <w:rsid w:val="002E4AD2"/>
    <w:rsid w:val="002E5A60"/>
    <w:rsid w:val="002F294D"/>
    <w:rsid w:val="002F3665"/>
    <w:rsid w:val="002F5A87"/>
    <w:rsid w:val="00301227"/>
    <w:rsid w:val="00304520"/>
    <w:rsid w:val="0031457F"/>
    <w:rsid w:val="00314957"/>
    <w:rsid w:val="003155B4"/>
    <w:rsid w:val="00315CD9"/>
    <w:rsid w:val="00323683"/>
    <w:rsid w:val="00325B15"/>
    <w:rsid w:val="00330EED"/>
    <w:rsid w:val="00334442"/>
    <w:rsid w:val="00345C3C"/>
    <w:rsid w:val="00346BA3"/>
    <w:rsid w:val="0035525B"/>
    <w:rsid w:val="00355BB1"/>
    <w:rsid w:val="00364C8B"/>
    <w:rsid w:val="003656F0"/>
    <w:rsid w:val="00367335"/>
    <w:rsid w:val="00370AB9"/>
    <w:rsid w:val="00370E97"/>
    <w:rsid w:val="00374514"/>
    <w:rsid w:val="00374BAC"/>
    <w:rsid w:val="00374F81"/>
    <w:rsid w:val="0037513E"/>
    <w:rsid w:val="003824FD"/>
    <w:rsid w:val="00383C8A"/>
    <w:rsid w:val="00385B7A"/>
    <w:rsid w:val="00387C93"/>
    <w:rsid w:val="00396491"/>
    <w:rsid w:val="003A2E58"/>
    <w:rsid w:val="003A7090"/>
    <w:rsid w:val="003B077B"/>
    <w:rsid w:val="003B22EF"/>
    <w:rsid w:val="003B63EA"/>
    <w:rsid w:val="003B76E5"/>
    <w:rsid w:val="003C009A"/>
    <w:rsid w:val="003C340E"/>
    <w:rsid w:val="003C36A6"/>
    <w:rsid w:val="003C4944"/>
    <w:rsid w:val="003D0BE1"/>
    <w:rsid w:val="003D218F"/>
    <w:rsid w:val="003D3263"/>
    <w:rsid w:val="003D38DD"/>
    <w:rsid w:val="003D4DE1"/>
    <w:rsid w:val="003D712A"/>
    <w:rsid w:val="003E26B3"/>
    <w:rsid w:val="003E3ADE"/>
    <w:rsid w:val="003F2B5E"/>
    <w:rsid w:val="00403585"/>
    <w:rsid w:val="00413823"/>
    <w:rsid w:val="00415215"/>
    <w:rsid w:val="00421296"/>
    <w:rsid w:val="00422204"/>
    <w:rsid w:val="00431829"/>
    <w:rsid w:val="00434228"/>
    <w:rsid w:val="00437061"/>
    <w:rsid w:val="00442DAB"/>
    <w:rsid w:val="00454AC2"/>
    <w:rsid w:val="00457CD1"/>
    <w:rsid w:val="00460377"/>
    <w:rsid w:val="004603E2"/>
    <w:rsid w:val="004616A4"/>
    <w:rsid w:val="004623DF"/>
    <w:rsid w:val="00465B11"/>
    <w:rsid w:val="004716E2"/>
    <w:rsid w:val="00474EE9"/>
    <w:rsid w:val="00477BAB"/>
    <w:rsid w:val="0048009B"/>
    <w:rsid w:val="00482A76"/>
    <w:rsid w:val="0048586F"/>
    <w:rsid w:val="00495BAF"/>
    <w:rsid w:val="004A07A6"/>
    <w:rsid w:val="004A1E6F"/>
    <w:rsid w:val="004A2F73"/>
    <w:rsid w:val="004B1EFF"/>
    <w:rsid w:val="004B2138"/>
    <w:rsid w:val="004B3D57"/>
    <w:rsid w:val="004B6078"/>
    <w:rsid w:val="004C0865"/>
    <w:rsid w:val="004C5829"/>
    <w:rsid w:val="004C5E73"/>
    <w:rsid w:val="004D7BD9"/>
    <w:rsid w:val="004E081B"/>
    <w:rsid w:val="004E3954"/>
    <w:rsid w:val="004E3B3F"/>
    <w:rsid w:val="004E6C3C"/>
    <w:rsid w:val="004F0D6B"/>
    <w:rsid w:val="00503940"/>
    <w:rsid w:val="00510B9B"/>
    <w:rsid w:val="00511199"/>
    <w:rsid w:val="00514CAE"/>
    <w:rsid w:val="00517BC2"/>
    <w:rsid w:val="005263AA"/>
    <w:rsid w:val="0053007F"/>
    <w:rsid w:val="00531098"/>
    <w:rsid w:val="00532550"/>
    <w:rsid w:val="00532A0B"/>
    <w:rsid w:val="00534E32"/>
    <w:rsid w:val="005351DF"/>
    <w:rsid w:val="005355D5"/>
    <w:rsid w:val="00540665"/>
    <w:rsid w:val="005421A0"/>
    <w:rsid w:val="00543EAD"/>
    <w:rsid w:val="005443E2"/>
    <w:rsid w:val="0054520C"/>
    <w:rsid w:val="00553BC4"/>
    <w:rsid w:val="005709CB"/>
    <w:rsid w:val="00573CEB"/>
    <w:rsid w:val="0057442B"/>
    <w:rsid w:val="0058210B"/>
    <w:rsid w:val="00583257"/>
    <w:rsid w:val="00587B68"/>
    <w:rsid w:val="00594DB1"/>
    <w:rsid w:val="0059610D"/>
    <w:rsid w:val="005A1792"/>
    <w:rsid w:val="005A321B"/>
    <w:rsid w:val="005A61B4"/>
    <w:rsid w:val="005B012B"/>
    <w:rsid w:val="005C06BF"/>
    <w:rsid w:val="005C1678"/>
    <w:rsid w:val="005C24B0"/>
    <w:rsid w:val="005C49E2"/>
    <w:rsid w:val="005D29E3"/>
    <w:rsid w:val="005D3E18"/>
    <w:rsid w:val="005E0A7A"/>
    <w:rsid w:val="005E28B8"/>
    <w:rsid w:val="005E771F"/>
    <w:rsid w:val="005F2230"/>
    <w:rsid w:val="005F4235"/>
    <w:rsid w:val="006034EC"/>
    <w:rsid w:val="006260F9"/>
    <w:rsid w:val="00626237"/>
    <w:rsid w:val="00630656"/>
    <w:rsid w:val="00630B5E"/>
    <w:rsid w:val="00636909"/>
    <w:rsid w:val="00640B68"/>
    <w:rsid w:val="0064375A"/>
    <w:rsid w:val="0064496C"/>
    <w:rsid w:val="006458C7"/>
    <w:rsid w:val="006463F2"/>
    <w:rsid w:val="00651624"/>
    <w:rsid w:val="006519AC"/>
    <w:rsid w:val="00651AFF"/>
    <w:rsid w:val="0065303A"/>
    <w:rsid w:val="00656209"/>
    <w:rsid w:val="00657898"/>
    <w:rsid w:val="006618E7"/>
    <w:rsid w:val="00662E45"/>
    <w:rsid w:val="006735A6"/>
    <w:rsid w:val="00681DB7"/>
    <w:rsid w:val="00683039"/>
    <w:rsid w:val="00692439"/>
    <w:rsid w:val="00692E9E"/>
    <w:rsid w:val="006949DA"/>
    <w:rsid w:val="00696343"/>
    <w:rsid w:val="006A7277"/>
    <w:rsid w:val="006B38ED"/>
    <w:rsid w:val="006B63E5"/>
    <w:rsid w:val="006B7B2C"/>
    <w:rsid w:val="006C55C8"/>
    <w:rsid w:val="006C655E"/>
    <w:rsid w:val="006D1FA5"/>
    <w:rsid w:val="006D5D04"/>
    <w:rsid w:val="006D767F"/>
    <w:rsid w:val="006E6FB8"/>
    <w:rsid w:val="006F29E7"/>
    <w:rsid w:val="006F673E"/>
    <w:rsid w:val="006F716A"/>
    <w:rsid w:val="00702885"/>
    <w:rsid w:val="00703DD2"/>
    <w:rsid w:val="00707947"/>
    <w:rsid w:val="007105D6"/>
    <w:rsid w:val="007136BA"/>
    <w:rsid w:val="007205DC"/>
    <w:rsid w:val="00723503"/>
    <w:rsid w:val="0072443B"/>
    <w:rsid w:val="0073463C"/>
    <w:rsid w:val="00736C6B"/>
    <w:rsid w:val="00741C6D"/>
    <w:rsid w:val="007447AE"/>
    <w:rsid w:val="00745125"/>
    <w:rsid w:val="00747203"/>
    <w:rsid w:val="00747ACA"/>
    <w:rsid w:val="0075229C"/>
    <w:rsid w:val="007610A3"/>
    <w:rsid w:val="00762550"/>
    <w:rsid w:val="00774388"/>
    <w:rsid w:val="0078596F"/>
    <w:rsid w:val="00786440"/>
    <w:rsid w:val="00787AEE"/>
    <w:rsid w:val="00787B1F"/>
    <w:rsid w:val="00790CE3"/>
    <w:rsid w:val="007916E4"/>
    <w:rsid w:val="00791A95"/>
    <w:rsid w:val="00792020"/>
    <w:rsid w:val="0079226E"/>
    <w:rsid w:val="00792B0B"/>
    <w:rsid w:val="007932A2"/>
    <w:rsid w:val="00793C75"/>
    <w:rsid w:val="00795C5C"/>
    <w:rsid w:val="007971C7"/>
    <w:rsid w:val="007A18E1"/>
    <w:rsid w:val="007A3267"/>
    <w:rsid w:val="007A3429"/>
    <w:rsid w:val="007A442B"/>
    <w:rsid w:val="007B0D1F"/>
    <w:rsid w:val="007B3E7F"/>
    <w:rsid w:val="007B441D"/>
    <w:rsid w:val="007B5701"/>
    <w:rsid w:val="007B5989"/>
    <w:rsid w:val="007B777F"/>
    <w:rsid w:val="007C0878"/>
    <w:rsid w:val="007C2E8E"/>
    <w:rsid w:val="007C4439"/>
    <w:rsid w:val="007C7E79"/>
    <w:rsid w:val="007D0E67"/>
    <w:rsid w:val="007D7790"/>
    <w:rsid w:val="007E1BD1"/>
    <w:rsid w:val="007E3AB5"/>
    <w:rsid w:val="007E3CE4"/>
    <w:rsid w:val="007E5803"/>
    <w:rsid w:val="007F2228"/>
    <w:rsid w:val="007F38F2"/>
    <w:rsid w:val="008052A8"/>
    <w:rsid w:val="00805C64"/>
    <w:rsid w:val="0080605A"/>
    <w:rsid w:val="00813B5D"/>
    <w:rsid w:val="00815D89"/>
    <w:rsid w:val="008172DA"/>
    <w:rsid w:val="008215FC"/>
    <w:rsid w:val="0082189C"/>
    <w:rsid w:val="00837DDE"/>
    <w:rsid w:val="00840B61"/>
    <w:rsid w:val="00850326"/>
    <w:rsid w:val="00853379"/>
    <w:rsid w:val="00874114"/>
    <w:rsid w:val="00874B7A"/>
    <w:rsid w:val="00876587"/>
    <w:rsid w:val="008940BC"/>
    <w:rsid w:val="008A22D2"/>
    <w:rsid w:val="008A3014"/>
    <w:rsid w:val="008B12C9"/>
    <w:rsid w:val="008B2F8A"/>
    <w:rsid w:val="008C29AA"/>
    <w:rsid w:val="008C4236"/>
    <w:rsid w:val="008C5F7C"/>
    <w:rsid w:val="008D04BD"/>
    <w:rsid w:val="008D2E17"/>
    <w:rsid w:val="008E076E"/>
    <w:rsid w:val="008F1190"/>
    <w:rsid w:val="008F5375"/>
    <w:rsid w:val="008F64E5"/>
    <w:rsid w:val="00900377"/>
    <w:rsid w:val="00900BD8"/>
    <w:rsid w:val="009030E6"/>
    <w:rsid w:val="00910E91"/>
    <w:rsid w:val="00911791"/>
    <w:rsid w:val="00911D43"/>
    <w:rsid w:val="00914012"/>
    <w:rsid w:val="00915321"/>
    <w:rsid w:val="00916276"/>
    <w:rsid w:val="0091792D"/>
    <w:rsid w:val="009239DE"/>
    <w:rsid w:val="009240F5"/>
    <w:rsid w:val="00927C31"/>
    <w:rsid w:val="00937405"/>
    <w:rsid w:val="0094347B"/>
    <w:rsid w:val="009514C2"/>
    <w:rsid w:val="00955653"/>
    <w:rsid w:val="00955FE0"/>
    <w:rsid w:val="00960305"/>
    <w:rsid w:val="00964A80"/>
    <w:rsid w:val="00964ACD"/>
    <w:rsid w:val="00974FD6"/>
    <w:rsid w:val="00983CC8"/>
    <w:rsid w:val="009853BE"/>
    <w:rsid w:val="00995503"/>
    <w:rsid w:val="009A361F"/>
    <w:rsid w:val="009A70C0"/>
    <w:rsid w:val="009B0356"/>
    <w:rsid w:val="009B4AF3"/>
    <w:rsid w:val="009B68C6"/>
    <w:rsid w:val="009C2020"/>
    <w:rsid w:val="009C4710"/>
    <w:rsid w:val="009C6362"/>
    <w:rsid w:val="009D25E6"/>
    <w:rsid w:val="009D32A0"/>
    <w:rsid w:val="009D41CA"/>
    <w:rsid w:val="009D5C78"/>
    <w:rsid w:val="009F1472"/>
    <w:rsid w:val="00A01C64"/>
    <w:rsid w:val="00A06C25"/>
    <w:rsid w:val="00A120DD"/>
    <w:rsid w:val="00A206A1"/>
    <w:rsid w:val="00A20BD1"/>
    <w:rsid w:val="00A32E10"/>
    <w:rsid w:val="00A34D82"/>
    <w:rsid w:val="00A3586A"/>
    <w:rsid w:val="00A35C21"/>
    <w:rsid w:val="00A36E09"/>
    <w:rsid w:val="00A40D50"/>
    <w:rsid w:val="00A4306D"/>
    <w:rsid w:val="00A50E50"/>
    <w:rsid w:val="00A52898"/>
    <w:rsid w:val="00A53D6A"/>
    <w:rsid w:val="00A61D4A"/>
    <w:rsid w:val="00A66933"/>
    <w:rsid w:val="00A73FD5"/>
    <w:rsid w:val="00A755EB"/>
    <w:rsid w:val="00A83770"/>
    <w:rsid w:val="00A83A6C"/>
    <w:rsid w:val="00A83D56"/>
    <w:rsid w:val="00A846C5"/>
    <w:rsid w:val="00A93088"/>
    <w:rsid w:val="00A93B09"/>
    <w:rsid w:val="00A94DB0"/>
    <w:rsid w:val="00A95977"/>
    <w:rsid w:val="00A976FD"/>
    <w:rsid w:val="00AA4F49"/>
    <w:rsid w:val="00AA72FF"/>
    <w:rsid w:val="00AB466F"/>
    <w:rsid w:val="00AB554A"/>
    <w:rsid w:val="00AC001F"/>
    <w:rsid w:val="00AC4B5C"/>
    <w:rsid w:val="00AC5B7A"/>
    <w:rsid w:val="00AC6487"/>
    <w:rsid w:val="00AC7CAD"/>
    <w:rsid w:val="00AD218A"/>
    <w:rsid w:val="00AD3786"/>
    <w:rsid w:val="00AD4A80"/>
    <w:rsid w:val="00AD6488"/>
    <w:rsid w:val="00AD6607"/>
    <w:rsid w:val="00AE5790"/>
    <w:rsid w:val="00AF3659"/>
    <w:rsid w:val="00AF614E"/>
    <w:rsid w:val="00AF6B10"/>
    <w:rsid w:val="00B0207D"/>
    <w:rsid w:val="00B0655A"/>
    <w:rsid w:val="00B069E5"/>
    <w:rsid w:val="00B17CCE"/>
    <w:rsid w:val="00B20ED8"/>
    <w:rsid w:val="00B32418"/>
    <w:rsid w:val="00B37924"/>
    <w:rsid w:val="00B434A1"/>
    <w:rsid w:val="00B43A66"/>
    <w:rsid w:val="00B578DF"/>
    <w:rsid w:val="00B60F3E"/>
    <w:rsid w:val="00B615DE"/>
    <w:rsid w:val="00B627D9"/>
    <w:rsid w:val="00B64400"/>
    <w:rsid w:val="00B64673"/>
    <w:rsid w:val="00B70D81"/>
    <w:rsid w:val="00B7366A"/>
    <w:rsid w:val="00B8202B"/>
    <w:rsid w:val="00B84193"/>
    <w:rsid w:val="00B847C4"/>
    <w:rsid w:val="00B854E9"/>
    <w:rsid w:val="00B86A33"/>
    <w:rsid w:val="00B97552"/>
    <w:rsid w:val="00BA0A0A"/>
    <w:rsid w:val="00BA2EAD"/>
    <w:rsid w:val="00BB1C71"/>
    <w:rsid w:val="00BB2146"/>
    <w:rsid w:val="00BB4E37"/>
    <w:rsid w:val="00BB6860"/>
    <w:rsid w:val="00BB6863"/>
    <w:rsid w:val="00BC1F39"/>
    <w:rsid w:val="00BC2333"/>
    <w:rsid w:val="00BD1FC8"/>
    <w:rsid w:val="00BD6F36"/>
    <w:rsid w:val="00BF19BD"/>
    <w:rsid w:val="00C027D1"/>
    <w:rsid w:val="00C078C6"/>
    <w:rsid w:val="00C13788"/>
    <w:rsid w:val="00C153EC"/>
    <w:rsid w:val="00C20E1A"/>
    <w:rsid w:val="00C25DDC"/>
    <w:rsid w:val="00C270CD"/>
    <w:rsid w:val="00C344A7"/>
    <w:rsid w:val="00C35B45"/>
    <w:rsid w:val="00C40D4A"/>
    <w:rsid w:val="00C47E89"/>
    <w:rsid w:val="00C54856"/>
    <w:rsid w:val="00C631B7"/>
    <w:rsid w:val="00C77DED"/>
    <w:rsid w:val="00C8518A"/>
    <w:rsid w:val="00C8711A"/>
    <w:rsid w:val="00C91F59"/>
    <w:rsid w:val="00C92787"/>
    <w:rsid w:val="00C948E5"/>
    <w:rsid w:val="00C94C2D"/>
    <w:rsid w:val="00C95EB8"/>
    <w:rsid w:val="00CA1A89"/>
    <w:rsid w:val="00CA612E"/>
    <w:rsid w:val="00CB1F6E"/>
    <w:rsid w:val="00CB4B61"/>
    <w:rsid w:val="00CC0E3E"/>
    <w:rsid w:val="00CC1E9A"/>
    <w:rsid w:val="00CC44CA"/>
    <w:rsid w:val="00CC527F"/>
    <w:rsid w:val="00CC5F71"/>
    <w:rsid w:val="00CC6CD2"/>
    <w:rsid w:val="00CD070D"/>
    <w:rsid w:val="00CD0C1F"/>
    <w:rsid w:val="00CD154C"/>
    <w:rsid w:val="00CD2648"/>
    <w:rsid w:val="00CD2E4D"/>
    <w:rsid w:val="00CD3267"/>
    <w:rsid w:val="00CD4C96"/>
    <w:rsid w:val="00CD7867"/>
    <w:rsid w:val="00CE0321"/>
    <w:rsid w:val="00CE04BD"/>
    <w:rsid w:val="00CE13B7"/>
    <w:rsid w:val="00CE34D3"/>
    <w:rsid w:val="00CF30E8"/>
    <w:rsid w:val="00CF4FE3"/>
    <w:rsid w:val="00D016D0"/>
    <w:rsid w:val="00D027AD"/>
    <w:rsid w:val="00D06F48"/>
    <w:rsid w:val="00D10A18"/>
    <w:rsid w:val="00D12969"/>
    <w:rsid w:val="00D12F2C"/>
    <w:rsid w:val="00D158CF"/>
    <w:rsid w:val="00D2383F"/>
    <w:rsid w:val="00D2499C"/>
    <w:rsid w:val="00D3344C"/>
    <w:rsid w:val="00D400C5"/>
    <w:rsid w:val="00D4224D"/>
    <w:rsid w:val="00D42D45"/>
    <w:rsid w:val="00D44192"/>
    <w:rsid w:val="00D46AFC"/>
    <w:rsid w:val="00D50867"/>
    <w:rsid w:val="00D54527"/>
    <w:rsid w:val="00D55B0E"/>
    <w:rsid w:val="00D63B51"/>
    <w:rsid w:val="00D64096"/>
    <w:rsid w:val="00D71BA0"/>
    <w:rsid w:val="00D76339"/>
    <w:rsid w:val="00D81E2F"/>
    <w:rsid w:val="00D82120"/>
    <w:rsid w:val="00D946FC"/>
    <w:rsid w:val="00D96ADC"/>
    <w:rsid w:val="00D96EF4"/>
    <w:rsid w:val="00D96F57"/>
    <w:rsid w:val="00DA12C7"/>
    <w:rsid w:val="00DA2A0E"/>
    <w:rsid w:val="00DA3594"/>
    <w:rsid w:val="00DB0CB7"/>
    <w:rsid w:val="00DB3003"/>
    <w:rsid w:val="00DB6005"/>
    <w:rsid w:val="00DC0D75"/>
    <w:rsid w:val="00DD2670"/>
    <w:rsid w:val="00DD5CC7"/>
    <w:rsid w:val="00DD7145"/>
    <w:rsid w:val="00DE0B15"/>
    <w:rsid w:val="00DE36B0"/>
    <w:rsid w:val="00DF16FB"/>
    <w:rsid w:val="00DF1CBB"/>
    <w:rsid w:val="00DF377A"/>
    <w:rsid w:val="00E136D0"/>
    <w:rsid w:val="00E15245"/>
    <w:rsid w:val="00E16545"/>
    <w:rsid w:val="00E233E4"/>
    <w:rsid w:val="00E3348B"/>
    <w:rsid w:val="00E340CD"/>
    <w:rsid w:val="00E426B3"/>
    <w:rsid w:val="00E442E8"/>
    <w:rsid w:val="00E44A5F"/>
    <w:rsid w:val="00E45B17"/>
    <w:rsid w:val="00E5003A"/>
    <w:rsid w:val="00E56293"/>
    <w:rsid w:val="00E64DF8"/>
    <w:rsid w:val="00E65301"/>
    <w:rsid w:val="00E76A46"/>
    <w:rsid w:val="00E82415"/>
    <w:rsid w:val="00E95556"/>
    <w:rsid w:val="00E972D5"/>
    <w:rsid w:val="00EA394C"/>
    <w:rsid w:val="00EA4C44"/>
    <w:rsid w:val="00EA529C"/>
    <w:rsid w:val="00EA5308"/>
    <w:rsid w:val="00EB0C1A"/>
    <w:rsid w:val="00EB2F2C"/>
    <w:rsid w:val="00EB400D"/>
    <w:rsid w:val="00EB471E"/>
    <w:rsid w:val="00EB4F9D"/>
    <w:rsid w:val="00EC352E"/>
    <w:rsid w:val="00EC4729"/>
    <w:rsid w:val="00ED0764"/>
    <w:rsid w:val="00ED3E1C"/>
    <w:rsid w:val="00ED6B34"/>
    <w:rsid w:val="00EE0524"/>
    <w:rsid w:val="00EE48F7"/>
    <w:rsid w:val="00EF0AEC"/>
    <w:rsid w:val="00EF20C3"/>
    <w:rsid w:val="00EF43B0"/>
    <w:rsid w:val="00EF5D2B"/>
    <w:rsid w:val="00F06947"/>
    <w:rsid w:val="00F113C6"/>
    <w:rsid w:val="00F11611"/>
    <w:rsid w:val="00F13CE5"/>
    <w:rsid w:val="00F158FD"/>
    <w:rsid w:val="00F21B4D"/>
    <w:rsid w:val="00F24E5D"/>
    <w:rsid w:val="00F30CD5"/>
    <w:rsid w:val="00F30F0D"/>
    <w:rsid w:val="00F31118"/>
    <w:rsid w:val="00F33C19"/>
    <w:rsid w:val="00F37D82"/>
    <w:rsid w:val="00F407EA"/>
    <w:rsid w:val="00F40DFD"/>
    <w:rsid w:val="00F436E7"/>
    <w:rsid w:val="00F4569C"/>
    <w:rsid w:val="00F459C6"/>
    <w:rsid w:val="00F45C6E"/>
    <w:rsid w:val="00F47085"/>
    <w:rsid w:val="00F47D33"/>
    <w:rsid w:val="00F518F3"/>
    <w:rsid w:val="00F544EE"/>
    <w:rsid w:val="00F55940"/>
    <w:rsid w:val="00F57C74"/>
    <w:rsid w:val="00F603CB"/>
    <w:rsid w:val="00F61F8C"/>
    <w:rsid w:val="00F6247C"/>
    <w:rsid w:val="00F631AA"/>
    <w:rsid w:val="00F645E7"/>
    <w:rsid w:val="00F64DCA"/>
    <w:rsid w:val="00F72054"/>
    <w:rsid w:val="00F8008D"/>
    <w:rsid w:val="00F86540"/>
    <w:rsid w:val="00F8685A"/>
    <w:rsid w:val="00F96299"/>
    <w:rsid w:val="00F96BE9"/>
    <w:rsid w:val="00FA1923"/>
    <w:rsid w:val="00FA24CD"/>
    <w:rsid w:val="00FA281C"/>
    <w:rsid w:val="00FA3DDA"/>
    <w:rsid w:val="00FA5012"/>
    <w:rsid w:val="00FB5A6A"/>
    <w:rsid w:val="00FB5B8B"/>
    <w:rsid w:val="00FC7652"/>
    <w:rsid w:val="00FC7BCC"/>
    <w:rsid w:val="00FD2E1E"/>
    <w:rsid w:val="00FD5005"/>
    <w:rsid w:val="00FD51AE"/>
    <w:rsid w:val="00FD7B75"/>
    <w:rsid w:val="00FE639B"/>
    <w:rsid w:val="00FF0AEC"/>
    <w:rsid w:val="00FF2C56"/>
    <w:rsid w:val="00FF4F9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ECA4"/>
  <w15:docId w15:val="{C9FB3E21-63C1-5848-A50D-C3EE9B82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00C5"/>
    <w:rPr>
      <w:sz w:val="20"/>
      <w:szCs w:val="20"/>
    </w:rPr>
  </w:style>
  <w:style w:type="character" w:customStyle="1" w:styleId="FootnoteTextChar">
    <w:name w:val="Footnote Text Char"/>
    <w:basedOn w:val="DefaultParagraphFont"/>
    <w:link w:val="FootnoteText"/>
    <w:uiPriority w:val="99"/>
    <w:rsid w:val="00D400C5"/>
    <w:rPr>
      <w:sz w:val="20"/>
      <w:szCs w:val="20"/>
    </w:rPr>
  </w:style>
  <w:style w:type="character" w:styleId="FootnoteReference">
    <w:name w:val="footnote reference"/>
    <w:basedOn w:val="DefaultParagraphFont"/>
    <w:uiPriority w:val="99"/>
    <w:unhideWhenUsed/>
    <w:rsid w:val="00D400C5"/>
    <w:rPr>
      <w:vertAlign w:val="superscript"/>
    </w:rPr>
  </w:style>
  <w:style w:type="character" w:styleId="Hyperlink">
    <w:name w:val="Hyperlink"/>
    <w:basedOn w:val="DefaultParagraphFont"/>
    <w:uiPriority w:val="99"/>
    <w:unhideWhenUsed/>
    <w:rsid w:val="00D400C5"/>
    <w:rPr>
      <w:color w:val="0563C1" w:themeColor="hyperlink"/>
      <w:u w:val="single"/>
    </w:rPr>
  </w:style>
  <w:style w:type="paragraph" w:styleId="ListParagraph">
    <w:name w:val="List Paragraph"/>
    <w:basedOn w:val="Normal"/>
    <w:uiPriority w:val="34"/>
    <w:qFormat/>
    <w:rsid w:val="00D400C5"/>
    <w:pPr>
      <w:ind w:left="720"/>
      <w:contextualSpacing/>
    </w:pPr>
  </w:style>
  <w:style w:type="character" w:customStyle="1" w:styleId="UnresolvedMention1">
    <w:name w:val="Unresolved Mention1"/>
    <w:basedOn w:val="DefaultParagraphFont"/>
    <w:uiPriority w:val="99"/>
    <w:semiHidden/>
    <w:unhideWhenUsed/>
    <w:rsid w:val="00543EAD"/>
    <w:rPr>
      <w:color w:val="605E5C"/>
      <w:shd w:val="clear" w:color="auto" w:fill="E1DFDD"/>
    </w:rPr>
  </w:style>
  <w:style w:type="character" w:styleId="CommentReference">
    <w:name w:val="annotation reference"/>
    <w:basedOn w:val="DefaultParagraphFont"/>
    <w:uiPriority w:val="99"/>
    <w:semiHidden/>
    <w:unhideWhenUsed/>
    <w:rsid w:val="00B627D9"/>
    <w:rPr>
      <w:sz w:val="16"/>
      <w:szCs w:val="16"/>
    </w:rPr>
  </w:style>
  <w:style w:type="paragraph" w:styleId="CommentText">
    <w:name w:val="annotation text"/>
    <w:basedOn w:val="Normal"/>
    <w:link w:val="CommentTextChar"/>
    <w:uiPriority w:val="99"/>
    <w:semiHidden/>
    <w:unhideWhenUsed/>
    <w:rsid w:val="00B627D9"/>
    <w:rPr>
      <w:sz w:val="20"/>
      <w:szCs w:val="20"/>
    </w:rPr>
  </w:style>
  <w:style w:type="character" w:customStyle="1" w:styleId="CommentTextChar">
    <w:name w:val="Comment Text Char"/>
    <w:basedOn w:val="DefaultParagraphFont"/>
    <w:link w:val="CommentText"/>
    <w:uiPriority w:val="99"/>
    <w:semiHidden/>
    <w:rsid w:val="00B627D9"/>
    <w:rPr>
      <w:sz w:val="20"/>
      <w:szCs w:val="20"/>
    </w:rPr>
  </w:style>
  <w:style w:type="paragraph" w:styleId="CommentSubject">
    <w:name w:val="annotation subject"/>
    <w:basedOn w:val="CommentText"/>
    <w:next w:val="CommentText"/>
    <w:link w:val="CommentSubjectChar"/>
    <w:uiPriority w:val="99"/>
    <w:semiHidden/>
    <w:unhideWhenUsed/>
    <w:rsid w:val="00B627D9"/>
    <w:rPr>
      <w:b/>
      <w:bCs/>
    </w:rPr>
  </w:style>
  <w:style w:type="character" w:customStyle="1" w:styleId="CommentSubjectChar">
    <w:name w:val="Comment Subject Char"/>
    <w:basedOn w:val="CommentTextChar"/>
    <w:link w:val="CommentSubject"/>
    <w:uiPriority w:val="99"/>
    <w:semiHidden/>
    <w:rsid w:val="00B627D9"/>
    <w:rPr>
      <w:b/>
      <w:bCs/>
      <w:sz w:val="20"/>
      <w:szCs w:val="20"/>
    </w:rPr>
  </w:style>
  <w:style w:type="paragraph" w:styleId="BalloonText">
    <w:name w:val="Balloon Text"/>
    <w:basedOn w:val="Normal"/>
    <w:link w:val="BalloonTextChar"/>
    <w:uiPriority w:val="99"/>
    <w:semiHidden/>
    <w:unhideWhenUsed/>
    <w:rsid w:val="00553BC4"/>
    <w:rPr>
      <w:rFonts w:ascii="Arial" w:hAnsi="Arial" w:cs="Arial"/>
      <w:sz w:val="18"/>
      <w:szCs w:val="18"/>
    </w:rPr>
  </w:style>
  <w:style w:type="character" w:customStyle="1" w:styleId="BalloonTextChar">
    <w:name w:val="Balloon Text Char"/>
    <w:basedOn w:val="DefaultParagraphFont"/>
    <w:link w:val="BalloonText"/>
    <w:uiPriority w:val="99"/>
    <w:semiHidden/>
    <w:rsid w:val="00553BC4"/>
    <w:rPr>
      <w:rFonts w:ascii="Arial" w:hAnsi="Arial" w:cs="Arial"/>
      <w:sz w:val="18"/>
      <w:szCs w:val="18"/>
    </w:rPr>
  </w:style>
  <w:style w:type="character" w:styleId="FollowedHyperlink">
    <w:name w:val="FollowedHyperlink"/>
    <w:basedOn w:val="DefaultParagraphFont"/>
    <w:uiPriority w:val="99"/>
    <w:semiHidden/>
    <w:unhideWhenUsed/>
    <w:rsid w:val="00B854E9"/>
    <w:rPr>
      <w:color w:val="954F72" w:themeColor="followedHyperlink"/>
      <w:u w:val="single"/>
    </w:rPr>
  </w:style>
  <w:style w:type="paragraph" w:styleId="Header">
    <w:name w:val="header"/>
    <w:basedOn w:val="Normal"/>
    <w:link w:val="HeaderChar"/>
    <w:uiPriority w:val="99"/>
    <w:unhideWhenUsed/>
    <w:rsid w:val="00ED6B34"/>
    <w:pPr>
      <w:tabs>
        <w:tab w:val="center" w:pos="4513"/>
        <w:tab w:val="right" w:pos="9026"/>
      </w:tabs>
    </w:pPr>
  </w:style>
  <w:style w:type="character" w:customStyle="1" w:styleId="HeaderChar">
    <w:name w:val="Header Char"/>
    <w:basedOn w:val="DefaultParagraphFont"/>
    <w:link w:val="Header"/>
    <w:uiPriority w:val="99"/>
    <w:rsid w:val="00ED6B34"/>
  </w:style>
  <w:style w:type="paragraph" w:styleId="Footer">
    <w:name w:val="footer"/>
    <w:basedOn w:val="Normal"/>
    <w:link w:val="FooterChar"/>
    <w:uiPriority w:val="99"/>
    <w:unhideWhenUsed/>
    <w:rsid w:val="00ED6B34"/>
    <w:pPr>
      <w:tabs>
        <w:tab w:val="center" w:pos="4513"/>
        <w:tab w:val="right" w:pos="9026"/>
      </w:tabs>
    </w:pPr>
  </w:style>
  <w:style w:type="character" w:customStyle="1" w:styleId="FooterChar">
    <w:name w:val="Footer Char"/>
    <w:basedOn w:val="DefaultParagraphFont"/>
    <w:link w:val="Footer"/>
    <w:uiPriority w:val="99"/>
    <w:rsid w:val="00ED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ao.org.uk/wp-content/uploads/2017/02/Health-and-social-care-integration.pdf" TargetMode="External"/><Relationship Id="rId13" Type="http://schemas.openxmlformats.org/officeDocument/2006/relationships/hyperlink" Target="https://www.england.nhs.uk/wp-content/uploads/2021/06/B0642-ics-design-framework-june-2021.pdf" TargetMode="External"/><Relationship Id="rId18" Type="http://schemas.openxmlformats.org/officeDocument/2006/relationships/hyperlink" Target="https://www.digitalhealth.net/2014/02/care-data-a-media-disaster/" TargetMode="External"/><Relationship Id="rId3" Type="http://schemas.openxmlformats.org/officeDocument/2006/relationships/hyperlink" Target="https://inews.co.uk/news/health/nhs-routine-surgery-hip-knee-replacements-savings-76769" TargetMode="External"/><Relationship Id="rId7" Type="http://schemas.openxmlformats.org/officeDocument/2006/relationships/hyperlink" Target="https://www.england.nhs.uk/new-care-models/" TargetMode="External"/><Relationship Id="rId12" Type="http://schemas.openxmlformats.org/officeDocument/2006/relationships/hyperlink" Target="https://www.bmj.com/content/370/bmj.m3747" TargetMode="External"/><Relationship Id="rId17" Type="http://schemas.openxmlformats.org/officeDocument/2006/relationships/hyperlink" Target="https://www.england.nhs.uk/wp-content/uploads/2019/05/a-new-approach-to-community-healthcare-funding-testing-and-guidance.pdf" TargetMode="External"/><Relationship Id="rId2" Type="http://schemas.openxmlformats.org/officeDocument/2006/relationships/hyperlink" Target="https://www.bmj.com/content/365/bmj.l2326" TargetMode="External"/><Relationship Id="rId16" Type="http://schemas.openxmlformats.org/officeDocument/2006/relationships/hyperlink" Target="https://www.kingsfund.org.uk/sites/default/files/2018-10/approaches-to-better-value-october2018_0.pdf" TargetMode="External"/><Relationship Id="rId1" Type="http://schemas.openxmlformats.org/officeDocument/2006/relationships/hyperlink" Target="https://www.england.nhs.uk/wp-content/uploads/2019/08/13-Whole-Population-Budget-Overview.pdf" TargetMode="External"/><Relationship Id="rId6" Type="http://schemas.openxmlformats.org/officeDocument/2006/relationships/hyperlink" Target="https://www.england.nhs.uk/wp-content/uploads/2021/02/B0135-provider-selection-regime-consultation.pdf" TargetMode="External"/><Relationship Id="rId11" Type="http://schemas.openxmlformats.org/officeDocument/2006/relationships/hyperlink" Target="https://www.ombudsman.org.uk/sites/default/files/page/A%20report%20of%20investigations%20into%20unsafe%20discharge%20from%20hospital.pdf" TargetMode="External"/><Relationship Id="rId5" Type="http://schemas.openxmlformats.org/officeDocument/2006/relationships/hyperlink" Target="http://data.parliament.uk/WrittenEvidence/CommitteeEvidence.svc/EvidenceDocument/Health%20and%20Social%20Care/NHS%20Longterm%20Plan%20legislative%20proposals/written/97675.html" TargetMode="External"/><Relationship Id="rId15" Type="http://schemas.openxmlformats.org/officeDocument/2006/relationships/hyperlink" Target="https://www.aiimi.com/insights/2020-grading-algorithm-understanding-what-went-wrong" TargetMode="External"/><Relationship Id="rId10" Type="http://schemas.openxmlformats.org/officeDocument/2006/relationships/hyperlink" Target="https://www.healthemergency.org.uk/pdf/McKinsey%20report%20on%20efficiency%20in%20NHS.pdf" TargetMode="External"/><Relationship Id="rId19" Type="http://schemas.openxmlformats.org/officeDocument/2006/relationships/hyperlink" Target="http://www.nhsbillnow.org" TargetMode="External"/><Relationship Id="rId4" Type="http://schemas.openxmlformats.org/officeDocument/2006/relationships/hyperlink" Target="https://www.ncbi.nlm.nih.gov/pmc/articles/PMC2131738/" TargetMode="External"/><Relationship Id="rId9" Type="http://schemas.openxmlformats.org/officeDocument/2006/relationships/hyperlink" Target="https://www.bmj.com/content/365/bmj.l4375" TargetMode="External"/><Relationship Id="rId14" Type="http://schemas.openxmlformats.org/officeDocument/2006/relationships/hyperlink" Target="https://www.england.nhs.uk/wp-content/uploads/2020/07/We-Are-The-NHS-Action-For-All-Of-Us-FINAL-March-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15811-611D-9A44-ACFD-E1022591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2516</Words>
  <Characters>14344</Characters>
  <Application>Microsoft Office Word</Application>
  <DocSecurity>0</DocSecurity>
  <Lines>119</Lines>
  <Paragraphs>33</Paragraphs>
  <ScaleCrop>false</ScaleCrop>
  <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Blanchard</dc:creator>
  <cp:keywords/>
  <dc:description/>
  <cp:lastModifiedBy>Olivia O'Sullivan</cp:lastModifiedBy>
  <cp:revision>2</cp:revision>
  <dcterms:created xsi:type="dcterms:W3CDTF">2022-01-06T16:02:00Z</dcterms:created>
  <dcterms:modified xsi:type="dcterms:W3CDTF">2022-01-06T16:02:00Z</dcterms:modified>
</cp:coreProperties>
</file>