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5C2F" w14:textId="77777777" w:rsidR="00C84A4C" w:rsidRDefault="00C84A4C" w:rsidP="00C84A4C">
      <w:pPr>
        <w:jc w:val="center"/>
        <w:rPr>
          <w:b/>
          <w:sz w:val="22"/>
          <w:szCs w:val="22"/>
        </w:rPr>
      </w:pPr>
      <w:r>
        <w:rPr>
          <w:b/>
          <w:sz w:val="22"/>
          <w:szCs w:val="22"/>
        </w:rPr>
        <w:t xml:space="preserve">Data: A New Direction: </w:t>
      </w:r>
    </w:p>
    <w:p w14:paraId="7DDDEFB7" w14:textId="37792E4C" w:rsidR="00C84A4C" w:rsidRDefault="00C84A4C" w:rsidP="00C84A4C">
      <w:pPr>
        <w:jc w:val="center"/>
        <w:rPr>
          <w:b/>
          <w:sz w:val="22"/>
          <w:szCs w:val="22"/>
        </w:rPr>
      </w:pPr>
      <w:r>
        <w:rPr>
          <w:b/>
          <w:sz w:val="22"/>
          <w:szCs w:val="22"/>
        </w:rPr>
        <w:t>KONP’s response to the consultation from the Department of Digital, Culture, Media and Sport</w:t>
      </w:r>
    </w:p>
    <w:p w14:paraId="757DFABC" w14:textId="77777777" w:rsidR="00C84A4C" w:rsidRDefault="00C84A4C" w:rsidP="0099442B">
      <w:pPr>
        <w:rPr>
          <w:b/>
          <w:sz w:val="22"/>
          <w:szCs w:val="22"/>
        </w:rPr>
      </w:pPr>
    </w:p>
    <w:p w14:paraId="64442D39" w14:textId="4642387D" w:rsidR="00AA2528" w:rsidRDefault="00D57440" w:rsidP="0099442B">
      <w:pPr>
        <w:rPr>
          <w:b/>
          <w:sz w:val="22"/>
          <w:szCs w:val="22"/>
        </w:rPr>
      </w:pPr>
      <w:r>
        <w:rPr>
          <w:b/>
          <w:sz w:val="22"/>
          <w:szCs w:val="22"/>
        </w:rPr>
        <w:t>Introduction</w:t>
      </w:r>
    </w:p>
    <w:p w14:paraId="7FD77CB1" w14:textId="3BC09135" w:rsidR="00D57440" w:rsidRPr="00ED1B9B" w:rsidRDefault="004A169A" w:rsidP="00D57440">
      <w:pPr>
        <w:spacing w:before="100" w:beforeAutospacing="1" w:after="100" w:afterAutospacing="1"/>
        <w:rPr>
          <w:rFonts w:cs="Times New Roman"/>
          <w:sz w:val="22"/>
          <w:szCs w:val="22"/>
        </w:rPr>
      </w:pPr>
      <w:r>
        <w:rPr>
          <w:rFonts w:cs="Times New Roman"/>
          <w:sz w:val="22"/>
          <w:szCs w:val="22"/>
        </w:rPr>
        <w:t xml:space="preserve">We are writing on behalf of </w:t>
      </w:r>
      <w:r w:rsidR="00ED1B9B" w:rsidRPr="00ED1B9B">
        <w:rPr>
          <w:rFonts w:cs="Times New Roman"/>
          <w:sz w:val="22"/>
          <w:szCs w:val="22"/>
        </w:rPr>
        <w:t>Keep Our NHS Public (KONP), a</w:t>
      </w:r>
      <w:r w:rsidR="00D57440" w:rsidRPr="00ED1B9B">
        <w:rPr>
          <w:rFonts w:cs="Times New Roman"/>
          <w:sz w:val="22"/>
          <w:szCs w:val="22"/>
        </w:rPr>
        <w:t xml:space="preserve"> civil society group concerned about the future of the NHS as a comprehensive, publicly provided and publicly accountable health service, funded from public taxation and free at the point of use. </w:t>
      </w:r>
    </w:p>
    <w:p w14:paraId="064C20AC" w14:textId="18CA3692" w:rsidR="00142C61" w:rsidRPr="00DC1EE5" w:rsidRDefault="00252154" w:rsidP="0099442B">
      <w:pPr>
        <w:rPr>
          <w:sz w:val="22"/>
          <w:szCs w:val="22"/>
        </w:rPr>
      </w:pPr>
      <w:r w:rsidRPr="00DC1EE5">
        <w:rPr>
          <w:sz w:val="22"/>
          <w:szCs w:val="22"/>
        </w:rPr>
        <w:t>This consultation</w:t>
      </w:r>
      <w:r w:rsidR="00AA2528" w:rsidRPr="00DC1EE5">
        <w:rPr>
          <w:sz w:val="22"/>
          <w:szCs w:val="22"/>
        </w:rPr>
        <w:t xml:space="preserve"> </w:t>
      </w:r>
      <w:r w:rsidRPr="00DC1EE5">
        <w:rPr>
          <w:sz w:val="22"/>
          <w:szCs w:val="22"/>
        </w:rPr>
        <w:t xml:space="preserve">on a new data regime </w:t>
      </w:r>
      <w:r w:rsidR="00AA2528" w:rsidRPr="00DC1EE5">
        <w:rPr>
          <w:sz w:val="22"/>
          <w:szCs w:val="22"/>
        </w:rPr>
        <w:t xml:space="preserve">from the Department of Digital, Culture, Media and Sport </w:t>
      </w:r>
      <w:r w:rsidR="002E34B5" w:rsidRPr="00DC1EE5">
        <w:rPr>
          <w:sz w:val="22"/>
          <w:szCs w:val="22"/>
        </w:rPr>
        <w:t xml:space="preserve">(DDCMS) </w:t>
      </w:r>
      <w:r w:rsidR="008C0C3F" w:rsidRPr="00DC1EE5">
        <w:rPr>
          <w:sz w:val="22"/>
          <w:szCs w:val="22"/>
        </w:rPr>
        <w:t>appear</w:t>
      </w:r>
      <w:r w:rsidRPr="00DC1EE5">
        <w:rPr>
          <w:sz w:val="22"/>
          <w:szCs w:val="22"/>
        </w:rPr>
        <w:t>s</w:t>
      </w:r>
      <w:r w:rsidR="008C0C3F" w:rsidRPr="00DC1EE5">
        <w:rPr>
          <w:sz w:val="22"/>
          <w:szCs w:val="22"/>
        </w:rPr>
        <w:t xml:space="preserve"> at the same time as the Police, Crime, Sentencing and Courts Bill </w:t>
      </w:r>
      <w:r w:rsidRPr="00DC1EE5">
        <w:rPr>
          <w:sz w:val="22"/>
          <w:szCs w:val="22"/>
        </w:rPr>
        <w:t>and the Health and Care Bill. If passed, these will provide new powers for government</w:t>
      </w:r>
      <w:r w:rsidR="00627502" w:rsidRPr="00DC1EE5">
        <w:rPr>
          <w:sz w:val="22"/>
          <w:szCs w:val="22"/>
        </w:rPr>
        <w:t xml:space="preserve"> and</w:t>
      </w:r>
      <w:r w:rsidRPr="00DC1EE5">
        <w:rPr>
          <w:sz w:val="22"/>
          <w:szCs w:val="22"/>
        </w:rPr>
        <w:t>,</w:t>
      </w:r>
      <w:r w:rsidR="00627502" w:rsidRPr="00DC1EE5">
        <w:rPr>
          <w:sz w:val="22"/>
          <w:szCs w:val="22"/>
        </w:rPr>
        <w:t xml:space="preserve"> potentially</w:t>
      </w:r>
      <w:r w:rsidRPr="00DC1EE5">
        <w:rPr>
          <w:sz w:val="22"/>
          <w:szCs w:val="22"/>
        </w:rPr>
        <w:t>,</w:t>
      </w:r>
      <w:r w:rsidR="00627502" w:rsidRPr="00DC1EE5">
        <w:rPr>
          <w:sz w:val="22"/>
          <w:szCs w:val="22"/>
        </w:rPr>
        <w:t xml:space="preserve"> private companies, </w:t>
      </w:r>
      <w:r w:rsidRPr="00DC1EE5">
        <w:rPr>
          <w:sz w:val="22"/>
          <w:szCs w:val="22"/>
        </w:rPr>
        <w:t xml:space="preserve">to allow </w:t>
      </w:r>
      <w:r w:rsidR="008C0C3F" w:rsidRPr="00DC1EE5">
        <w:rPr>
          <w:sz w:val="22"/>
          <w:szCs w:val="22"/>
        </w:rPr>
        <w:t xml:space="preserve">increased access to individuals’ confidential data. </w:t>
      </w:r>
      <w:r w:rsidR="00627502" w:rsidRPr="00DC1EE5">
        <w:rPr>
          <w:sz w:val="22"/>
          <w:szCs w:val="22"/>
        </w:rPr>
        <w:t xml:space="preserve">The Cabinet Office is also </w:t>
      </w:r>
      <w:r w:rsidRPr="00DC1EE5">
        <w:rPr>
          <w:sz w:val="22"/>
          <w:szCs w:val="22"/>
        </w:rPr>
        <w:t xml:space="preserve">currently </w:t>
      </w:r>
      <w:r w:rsidR="00627502" w:rsidRPr="00DC1EE5">
        <w:rPr>
          <w:sz w:val="22"/>
          <w:szCs w:val="22"/>
        </w:rPr>
        <w:t>looking at the Digital Economy Act of 2017 and exploring how to reduce ‘barriers’ to information sharing and extend existing public service delivery</w:t>
      </w:r>
      <w:r w:rsidR="002E34B5" w:rsidRPr="00DC1EE5">
        <w:rPr>
          <w:sz w:val="22"/>
          <w:szCs w:val="22"/>
        </w:rPr>
        <w:t xml:space="preserve"> powers to the business sector. </w:t>
      </w:r>
      <w:r w:rsidRPr="00DC1EE5">
        <w:rPr>
          <w:sz w:val="22"/>
          <w:szCs w:val="22"/>
        </w:rPr>
        <w:t xml:space="preserve">As a civil society group, Keep Our NHS Public is concerned </w:t>
      </w:r>
      <w:r w:rsidR="002E34B5" w:rsidRPr="00DC1EE5">
        <w:rPr>
          <w:sz w:val="22"/>
          <w:szCs w:val="22"/>
        </w:rPr>
        <w:t xml:space="preserve">that these initiatives represent a concerted effort to weaken the </w:t>
      </w:r>
      <w:r w:rsidRPr="00DC1EE5">
        <w:rPr>
          <w:sz w:val="22"/>
          <w:szCs w:val="22"/>
        </w:rPr>
        <w:t>rights a</w:t>
      </w:r>
      <w:r w:rsidR="002E34B5" w:rsidRPr="00DC1EE5">
        <w:rPr>
          <w:sz w:val="22"/>
          <w:szCs w:val="22"/>
        </w:rPr>
        <w:t>nd protections governing the sharing</w:t>
      </w:r>
      <w:r w:rsidRPr="00DC1EE5">
        <w:rPr>
          <w:sz w:val="22"/>
          <w:szCs w:val="22"/>
        </w:rPr>
        <w:t xml:space="preserve"> of personal data</w:t>
      </w:r>
      <w:r w:rsidR="002E34B5" w:rsidRPr="00DC1EE5">
        <w:rPr>
          <w:sz w:val="22"/>
          <w:szCs w:val="22"/>
        </w:rPr>
        <w:t xml:space="preserve">, </w:t>
      </w:r>
      <w:r w:rsidRPr="00DC1EE5">
        <w:rPr>
          <w:sz w:val="22"/>
          <w:szCs w:val="22"/>
        </w:rPr>
        <w:t>very often for commercial purpo</w:t>
      </w:r>
      <w:r w:rsidR="002E34B5" w:rsidRPr="00DC1EE5">
        <w:rPr>
          <w:sz w:val="22"/>
          <w:szCs w:val="22"/>
        </w:rPr>
        <w:t xml:space="preserve">ses. </w:t>
      </w:r>
    </w:p>
    <w:p w14:paraId="7AAD401B" w14:textId="77777777" w:rsidR="002E34B5" w:rsidRPr="00DC1EE5" w:rsidRDefault="002E34B5" w:rsidP="0099442B">
      <w:pPr>
        <w:rPr>
          <w:sz w:val="22"/>
          <w:szCs w:val="22"/>
        </w:rPr>
      </w:pPr>
    </w:p>
    <w:p w14:paraId="27A05550" w14:textId="000147CA" w:rsidR="0078012C" w:rsidRDefault="0078012C" w:rsidP="0078012C">
      <w:pPr>
        <w:rPr>
          <w:sz w:val="22"/>
          <w:szCs w:val="22"/>
        </w:rPr>
      </w:pPr>
      <w:r w:rsidRPr="00DC1EE5">
        <w:rPr>
          <w:sz w:val="22"/>
          <w:szCs w:val="22"/>
        </w:rPr>
        <w:t xml:space="preserve">The DDCMS proposals will </w:t>
      </w:r>
      <w:r w:rsidR="003E77E2" w:rsidRPr="00DC1EE5">
        <w:rPr>
          <w:sz w:val="22"/>
          <w:szCs w:val="22"/>
        </w:rPr>
        <w:t xml:space="preserve">make it more difficult for individuals to know what is being done with their data, while making easier for the government and corporations to access, reuse and potentially misuse it. </w:t>
      </w:r>
      <w:r w:rsidRPr="00DC1EE5">
        <w:rPr>
          <w:sz w:val="22"/>
          <w:szCs w:val="22"/>
        </w:rPr>
        <w:t>The implications are far reaching, affecting for example, the rights of workers, students and pupils and vulnerable or marginalised groups, making it harder to uncover and challenge discriminatory practices and reducing public safety.</w:t>
      </w:r>
      <w:r w:rsidR="00D310CE">
        <w:rPr>
          <w:rStyle w:val="FootnoteReference"/>
          <w:sz w:val="22"/>
          <w:szCs w:val="22"/>
        </w:rPr>
        <w:footnoteReference w:id="1"/>
      </w:r>
    </w:p>
    <w:p w14:paraId="4C2BD10C" w14:textId="15840031" w:rsidR="006462A6" w:rsidRDefault="006462A6" w:rsidP="0078012C">
      <w:pPr>
        <w:rPr>
          <w:sz w:val="22"/>
          <w:szCs w:val="22"/>
        </w:rPr>
      </w:pPr>
    </w:p>
    <w:p w14:paraId="04081FBC" w14:textId="4AC9BC6C" w:rsidR="006462A6" w:rsidRPr="00DC1EE5" w:rsidRDefault="006462A6" w:rsidP="0078012C">
      <w:pPr>
        <w:rPr>
          <w:sz w:val="22"/>
          <w:szCs w:val="22"/>
        </w:rPr>
      </w:pPr>
      <w:r w:rsidRPr="006462A6">
        <w:rPr>
          <w:sz w:val="22"/>
          <w:szCs w:val="22"/>
        </w:rPr>
        <w:t>Proposals in Chapter Five would undermine the independence of the Information Commissioner's Office (ICO) by, for example, giving the government powers to dictate the ICO's priorities and amend the ICO's salary without Parliamentary approval. In addition, new duties are proposed for the ICO to consider economic growth, innovation and competition when discharging its functions: these could allow more weight to be given to the interests of commerce than to the interests, fundamental rights and freedoms of data subjects. This cannot be right.</w:t>
      </w:r>
    </w:p>
    <w:p w14:paraId="7591C440" w14:textId="77777777" w:rsidR="004C58A1" w:rsidRPr="00DC1EE5" w:rsidRDefault="004C58A1" w:rsidP="0099442B">
      <w:pPr>
        <w:rPr>
          <w:sz w:val="22"/>
          <w:szCs w:val="22"/>
        </w:rPr>
      </w:pPr>
    </w:p>
    <w:p w14:paraId="7422B353" w14:textId="1BAF1C57" w:rsidR="003E77E2" w:rsidRPr="00DC1EE5" w:rsidRDefault="004C58A1" w:rsidP="0099442B">
      <w:pPr>
        <w:rPr>
          <w:b/>
          <w:sz w:val="22"/>
          <w:szCs w:val="22"/>
        </w:rPr>
      </w:pPr>
      <w:r w:rsidRPr="00DC1EE5">
        <w:rPr>
          <w:sz w:val="22"/>
          <w:szCs w:val="22"/>
        </w:rPr>
        <w:t>Our particular area of concern</w:t>
      </w:r>
      <w:r w:rsidR="0078012C" w:rsidRPr="00DC1EE5">
        <w:rPr>
          <w:sz w:val="22"/>
          <w:szCs w:val="22"/>
        </w:rPr>
        <w:t xml:space="preserve"> however</w:t>
      </w:r>
      <w:r w:rsidRPr="00DC1EE5">
        <w:rPr>
          <w:sz w:val="22"/>
          <w:szCs w:val="22"/>
        </w:rPr>
        <w:t xml:space="preserve"> is </w:t>
      </w:r>
      <w:r w:rsidR="0078012C" w:rsidRPr="00DC1EE5">
        <w:rPr>
          <w:sz w:val="22"/>
          <w:szCs w:val="22"/>
        </w:rPr>
        <w:t>how the proposals will increase</w:t>
      </w:r>
      <w:r w:rsidRPr="00DC1EE5">
        <w:rPr>
          <w:sz w:val="22"/>
          <w:szCs w:val="22"/>
        </w:rPr>
        <w:t xml:space="preserve"> access and wider sharing of </w:t>
      </w:r>
      <w:r w:rsidR="0078012C" w:rsidRPr="00DC1EE5">
        <w:rPr>
          <w:sz w:val="22"/>
          <w:szCs w:val="22"/>
        </w:rPr>
        <w:t>sensitive</w:t>
      </w:r>
      <w:r w:rsidRPr="00DC1EE5">
        <w:rPr>
          <w:sz w:val="22"/>
          <w:szCs w:val="22"/>
        </w:rPr>
        <w:t xml:space="preserve"> health data, and our response to the consultation will </w:t>
      </w:r>
      <w:r w:rsidR="0078012C" w:rsidRPr="00DC1EE5">
        <w:rPr>
          <w:sz w:val="22"/>
          <w:szCs w:val="22"/>
        </w:rPr>
        <w:t xml:space="preserve">largely </w:t>
      </w:r>
      <w:r w:rsidRPr="00DC1EE5">
        <w:rPr>
          <w:sz w:val="22"/>
          <w:szCs w:val="22"/>
        </w:rPr>
        <w:t>focus on questions relating specifically to this.</w:t>
      </w:r>
    </w:p>
    <w:p w14:paraId="13C83689" w14:textId="77777777" w:rsidR="003E77E2" w:rsidRPr="00DC1EE5" w:rsidRDefault="003E77E2" w:rsidP="0099442B">
      <w:pPr>
        <w:rPr>
          <w:b/>
          <w:sz w:val="22"/>
          <w:szCs w:val="22"/>
        </w:rPr>
      </w:pPr>
    </w:p>
    <w:p w14:paraId="27DEE82F" w14:textId="77777777" w:rsidR="0078012C" w:rsidRPr="00DC1EE5" w:rsidRDefault="0078012C" w:rsidP="0099442B">
      <w:pPr>
        <w:rPr>
          <w:b/>
          <w:sz w:val="22"/>
          <w:szCs w:val="22"/>
        </w:rPr>
      </w:pPr>
    </w:p>
    <w:p w14:paraId="73A4F293" w14:textId="5806F9B9" w:rsidR="0078012C" w:rsidRPr="00DC1EE5" w:rsidRDefault="0078012C" w:rsidP="0099442B">
      <w:pPr>
        <w:rPr>
          <w:b/>
          <w:sz w:val="22"/>
          <w:szCs w:val="22"/>
          <w:u w:val="single"/>
        </w:rPr>
      </w:pPr>
      <w:r w:rsidRPr="00DC1EE5">
        <w:rPr>
          <w:b/>
          <w:sz w:val="22"/>
          <w:szCs w:val="22"/>
          <w:u w:val="single"/>
        </w:rPr>
        <w:t>Chapter One: Reducing barriers to responsible innovation</w:t>
      </w:r>
    </w:p>
    <w:p w14:paraId="1EA7184F" w14:textId="77777777" w:rsidR="0078012C" w:rsidRPr="00DC1EE5" w:rsidRDefault="0078012C" w:rsidP="0099442B">
      <w:pPr>
        <w:rPr>
          <w:b/>
          <w:sz w:val="22"/>
          <w:szCs w:val="22"/>
        </w:rPr>
      </w:pPr>
    </w:p>
    <w:p w14:paraId="02E0CFF5" w14:textId="19FAF667" w:rsidR="0099442B" w:rsidRPr="00DC1EE5" w:rsidRDefault="0099442B" w:rsidP="0099442B">
      <w:pPr>
        <w:rPr>
          <w:b/>
          <w:sz w:val="22"/>
          <w:szCs w:val="22"/>
        </w:rPr>
      </w:pPr>
      <w:r w:rsidRPr="00DC1EE5">
        <w:rPr>
          <w:b/>
          <w:sz w:val="22"/>
          <w:szCs w:val="22"/>
        </w:rPr>
        <w:lastRenderedPageBreak/>
        <w:t>Q1.2.1a To what extent do you agree that consolidating and bringing together research-specific provisions will allow researchers to navigate the relevant law more easily?</w:t>
      </w:r>
    </w:p>
    <w:p w14:paraId="0596A799" w14:textId="77777777" w:rsidR="0099442B" w:rsidRPr="00DC1EE5" w:rsidRDefault="0099442B" w:rsidP="0099442B">
      <w:pPr>
        <w:rPr>
          <w:b/>
          <w:sz w:val="22"/>
          <w:szCs w:val="22"/>
        </w:rPr>
      </w:pPr>
    </w:p>
    <w:p w14:paraId="7FA857E5" w14:textId="066E3635" w:rsidR="0099442B" w:rsidRPr="00DC1EE5" w:rsidRDefault="00EB3E63" w:rsidP="0099442B">
      <w:pPr>
        <w:rPr>
          <w:b/>
          <w:i/>
          <w:sz w:val="22"/>
          <w:szCs w:val="22"/>
        </w:rPr>
      </w:pPr>
      <w:r>
        <w:rPr>
          <w:b/>
          <w:i/>
          <w:sz w:val="22"/>
          <w:szCs w:val="22"/>
        </w:rPr>
        <w:t>KONP’s r</w:t>
      </w:r>
      <w:r w:rsidR="0078012C" w:rsidRPr="00DC1EE5">
        <w:rPr>
          <w:b/>
          <w:i/>
          <w:sz w:val="22"/>
          <w:szCs w:val="22"/>
        </w:rPr>
        <w:t xml:space="preserve">esponse:  </w:t>
      </w:r>
      <w:r w:rsidR="0099442B" w:rsidRPr="00DC1EE5">
        <w:rPr>
          <w:b/>
          <w:i/>
          <w:sz w:val="22"/>
          <w:szCs w:val="22"/>
        </w:rPr>
        <w:t>Strongly disagree</w:t>
      </w:r>
    </w:p>
    <w:p w14:paraId="7840EFAE" w14:textId="77777777" w:rsidR="0099442B" w:rsidRPr="00DC1EE5" w:rsidRDefault="0099442B" w:rsidP="0099442B">
      <w:pPr>
        <w:spacing w:before="100" w:beforeAutospacing="1" w:after="100" w:afterAutospacing="1"/>
        <w:rPr>
          <w:rFonts w:cs="Times New Roman"/>
          <w:sz w:val="22"/>
          <w:szCs w:val="22"/>
        </w:rPr>
      </w:pPr>
      <w:r w:rsidRPr="00DC1EE5">
        <w:rPr>
          <w:rFonts w:cs="Times New Roman"/>
          <w:sz w:val="22"/>
          <w:szCs w:val="22"/>
        </w:rPr>
        <w:t xml:space="preserve">The UK GDPR provides a clear legal framework to govern researchers’ responsible use of personal data. If researchers have any doubts about data protection rules, clear additional guidance from the Information Commissioner’s Office (ICO) will be more useful to researchers than further legal complexity. </w:t>
      </w:r>
    </w:p>
    <w:p w14:paraId="6E37CEBC" w14:textId="0F345798" w:rsidR="0099442B" w:rsidRPr="00987194" w:rsidRDefault="0099442B" w:rsidP="00396CE4">
      <w:pPr>
        <w:spacing w:beforeAutospacing="1" w:afterAutospacing="1"/>
        <w:rPr>
          <w:rFonts w:cs="Times New Roman"/>
          <w:sz w:val="22"/>
          <w:szCs w:val="22"/>
        </w:rPr>
      </w:pPr>
      <w:r w:rsidRPr="00DC1EE5">
        <w:rPr>
          <w:rFonts w:cs="Times New Roman"/>
          <w:sz w:val="22"/>
          <w:szCs w:val="22"/>
        </w:rPr>
        <w:t xml:space="preserve">The Government suggests that current data protection rules represent a barrier to innovation: this claim is undermined by the Government’s own acknowledgement that the UK is </w:t>
      </w:r>
      <w:r w:rsidR="00396CE4">
        <w:rPr>
          <w:rFonts w:cs="Times New Roman"/>
          <w:sz w:val="22"/>
          <w:szCs w:val="22"/>
        </w:rPr>
        <w:t xml:space="preserve">ranked only </w:t>
      </w:r>
      <w:r w:rsidRPr="00DC1EE5">
        <w:rPr>
          <w:rFonts w:cs="Times New Roman"/>
          <w:sz w:val="22"/>
          <w:szCs w:val="22"/>
        </w:rPr>
        <w:t xml:space="preserve">second in the world for science and research. </w:t>
      </w:r>
      <w:r w:rsidR="00396CE4">
        <w:rPr>
          <w:rFonts w:cs="Times New Roman"/>
          <w:sz w:val="22"/>
          <w:szCs w:val="22"/>
        </w:rPr>
        <w:t xml:space="preserve">At the same time, it is baffling how the Government can suggest that ‘responsible innovation’ can trump </w:t>
      </w:r>
      <w:r w:rsidR="00396CE4" w:rsidRPr="00396CE4">
        <w:rPr>
          <w:rFonts w:cs="Times New Roman"/>
          <w:sz w:val="22"/>
          <w:szCs w:val="22"/>
        </w:rPr>
        <w:t xml:space="preserve">the rights and freedoms of individuals. </w:t>
      </w:r>
    </w:p>
    <w:p w14:paraId="6E02EB1E" w14:textId="3AFE2C15" w:rsidR="0099442B" w:rsidRPr="00DC1EE5" w:rsidRDefault="0099442B" w:rsidP="0099442B">
      <w:pPr>
        <w:spacing w:before="100" w:beforeAutospacing="1" w:after="100" w:afterAutospacing="1"/>
        <w:rPr>
          <w:rFonts w:cs="Times New Roman"/>
          <w:b/>
          <w:sz w:val="22"/>
          <w:szCs w:val="22"/>
        </w:rPr>
      </w:pPr>
      <w:r w:rsidRPr="00DC1EE5">
        <w:rPr>
          <w:rFonts w:cs="Times New Roman"/>
          <w:b/>
          <w:sz w:val="22"/>
          <w:szCs w:val="22"/>
        </w:rPr>
        <w:t xml:space="preserve">Q1.2.2.a To what extent do you agree that creating a statutory definition of </w:t>
      </w:r>
      <w:r w:rsidR="00BE29A6">
        <w:rPr>
          <w:rFonts w:cs="Times New Roman"/>
          <w:b/>
          <w:sz w:val="22"/>
          <w:szCs w:val="22"/>
        </w:rPr>
        <w:t xml:space="preserve"> </w:t>
      </w:r>
      <w:r w:rsidRPr="00DC1EE5">
        <w:rPr>
          <w:rFonts w:cs="Times New Roman"/>
          <w:b/>
          <w:sz w:val="22"/>
          <w:szCs w:val="22"/>
        </w:rPr>
        <w:t>‘scientific research’ would result in greater certainty for researchers?</w:t>
      </w:r>
    </w:p>
    <w:p w14:paraId="0102E29A" w14:textId="5547FE1C" w:rsidR="0099442B" w:rsidRPr="00DC1EE5" w:rsidRDefault="0078012C" w:rsidP="0099442B">
      <w:pPr>
        <w:spacing w:before="100" w:beforeAutospacing="1" w:after="100" w:afterAutospacing="1"/>
        <w:rPr>
          <w:rFonts w:cs="Times New Roman"/>
          <w:b/>
          <w:i/>
          <w:sz w:val="22"/>
          <w:szCs w:val="22"/>
        </w:rPr>
      </w:pPr>
      <w:r w:rsidRPr="00DC1EE5">
        <w:rPr>
          <w:rFonts w:cs="Times New Roman"/>
          <w:b/>
          <w:i/>
          <w:sz w:val="22"/>
          <w:szCs w:val="22"/>
        </w:rPr>
        <w:t xml:space="preserve">Response: </w:t>
      </w:r>
      <w:r w:rsidR="0099442B" w:rsidRPr="00DC1EE5">
        <w:rPr>
          <w:rFonts w:cs="Times New Roman"/>
          <w:b/>
          <w:i/>
          <w:sz w:val="22"/>
          <w:szCs w:val="22"/>
        </w:rPr>
        <w:t>Strongly disagree</w:t>
      </w:r>
    </w:p>
    <w:p w14:paraId="7C83937F" w14:textId="477105DD" w:rsidR="007A2452" w:rsidRPr="00DC1EE5" w:rsidRDefault="0099442B" w:rsidP="0099442B">
      <w:pPr>
        <w:spacing w:before="100" w:beforeAutospacing="1" w:after="100" w:afterAutospacing="1"/>
        <w:rPr>
          <w:rFonts w:cs="Times New Roman"/>
          <w:sz w:val="22"/>
          <w:szCs w:val="22"/>
        </w:rPr>
      </w:pPr>
      <w:r w:rsidRPr="00DC1EE5">
        <w:rPr>
          <w:rFonts w:cs="Times New Roman"/>
          <w:sz w:val="22"/>
          <w:szCs w:val="22"/>
        </w:rPr>
        <w:t xml:space="preserve">Recital 159 provides clarity about the kind of research activities that are covered by the UK GDPR. The same Recital also provides enough flexibility to allow for future social and technological change without the need to amend the legal definition of ‘scientific research’. Our concern is that expanding the existing definition will allow it to include commercial activity and so damage public trust that personal data collected for research purposes will </w:t>
      </w:r>
      <w:r w:rsidR="00396CE4">
        <w:rPr>
          <w:rFonts w:cs="Times New Roman"/>
          <w:sz w:val="22"/>
          <w:szCs w:val="22"/>
        </w:rPr>
        <w:t xml:space="preserve">only </w:t>
      </w:r>
      <w:r w:rsidRPr="00DC1EE5">
        <w:rPr>
          <w:rFonts w:cs="Times New Roman"/>
          <w:sz w:val="22"/>
          <w:szCs w:val="22"/>
        </w:rPr>
        <w:t>be used in the public interest.</w:t>
      </w:r>
      <w:r w:rsidR="0078012C" w:rsidRPr="00DC1EE5">
        <w:rPr>
          <w:rFonts w:cs="Times New Roman"/>
          <w:sz w:val="22"/>
          <w:szCs w:val="22"/>
        </w:rPr>
        <w:t xml:space="preserve"> </w:t>
      </w:r>
    </w:p>
    <w:p w14:paraId="66BBD56E" w14:textId="6F97950F" w:rsidR="001E0ACE" w:rsidRPr="00DC1EE5" w:rsidRDefault="0078012C" w:rsidP="001E0ACE">
      <w:pPr>
        <w:spacing w:before="100" w:beforeAutospacing="1" w:after="100" w:afterAutospacing="1"/>
        <w:rPr>
          <w:rFonts w:eastAsia="Times New Roman" w:cs="Times New Roman"/>
          <w:sz w:val="22"/>
          <w:szCs w:val="22"/>
        </w:rPr>
      </w:pPr>
      <w:r w:rsidRPr="00DC1EE5">
        <w:rPr>
          <w:rFonts w:cs="Times New Roman"/>
          <w:sz w:val="22"/>
          <w:szCs w:val="22"/>
        </w:rPr>
        <w:t>The</w:t>
      </w:r>
      <w:r w:rsidR="001669E4" w:rsidRPr="00DC1EE5">
        <w:rPr>
          <w:rFonts w:cs="Times New Roman"/>
          <w:sz w:val="22"/>
          <w:szCs w:val="22"/>
        </w:rPr>
        <w:t xml:space="preserve"> government made two recent attempts </w:t>
      </w:r>
      <w:r w:rsidR="007A2452" w:rsidRPr="00DC1EE5">
        <w:rPr>
          <w:rFonts w:cs="Times New Roman"/>
          <w:sz w:val="22"/>
          <w:szCs w:val="22"/>
        </w:rPr>
        <w:t>to extract</w:t>
      </w:r>
      <w:r w:rsidRPr="00DC1EE5">
        <w:rPr>
          <w:rFonts w:cs="Times New Roman"/>
          <w:sz w:val="22"/>
          <w:szCs w:val="22"/>
        </w:rPr>
        <w:t xml:space="preserve"> </w:t>
      </w:r>
      <w:r w:rsidR="00142C61" w:rsidRPr="00DC1EE5">
        <w:rPr>
          <w:rFonts w:cs="Times New Roman"/>
          <w:sz w:val="22"/>
          <w:szCs w:val="22"/>
        </w:rPr>
        <w:t xml:space="preserve">patients’ </w:t>
      </w:r>
      <w:r w:rsidRPr="00DC1EE5">
        <w:rPr>
          <w:rFonts w:cs="Times New Roman"/>
          <w:sz w:val="22"/>
          <w:szCs w:val="22"/>
        </w:rPr>
        <w:t xml:space="preserve">GP data without consent </w:t>
      </w:r>
      <w:r w:rsidR="00142C61" w:rsidRPr="00DC1EE5">
        <w:rPr>
          <w:rFonts w:cs="Times New Roman"/>
          <w:sz w:val="22"/>
          <w:szCs w:val="22"/>
        </w:rPr>
        <w:t>(initially through the exercise known as ‘care.data’ and then in what was described as ‘data grab’)</w:t>
      </w:r>
      <w:r w:rsidR="001669E4" w:rsidRPr="00DC1EE5">
        <w:rPr>
          <w:rFonts w:cs="Times New Roman"/>
          <w:sz w:val="22"/>
          <w:szCs w:val="22"/>
        </w:rPr>
        <w:t>, with fears that this data c</w:t>
      </w:r>
      <w:r w:rsidR="007A2452" w:rsidRPr="00DC1EE5">
        <w:rPr>
          <w:rFonts w:cs="Times New Roman"/>
          <w:sz w:val="22"/>
          <w:szCs w:val="22"/>
        </w:rPr>
        <w:t>ould be made available to the private sector</w:t>
      </w:r>
      <w:r w:rsidR="00396CE4">
        <w:rPr>
          <w:rFonts w:cs="Times New Roman"/>
          <w:sz w:val="22"/>
          <w:szCs w:val="22"/>
        </w:rPr>
        <w:t>.</w:t>
      </w:r>
      <w:r w:rsidR="001669E4" w:rsidRPr="00DC1EE5">
        <w:rPr>
          <w:rFonts w:cs="Times New Roman"/>
          <w:sz w:val="22"/>
          <w:szCs w:val="22"/>
        </w:rPr>
        <w:t xml:space="preserve"> This </w:t>
      </w:r>
      <w:r w:rsidR="00142C61" w:rsidRPr="00DC1EE5">
        <w:rPr>
          <w:rFonts w:cs="Times New Roman"/>
          <w:sz w:val="22"/>
          <w:szCs w:val="22"/>
        </w:rPr>
        <w:t xml:space="preserve">led to many patients </w:t>
      </w:r>
      <w:r w:rsidR="001669E4" w:rsidRPr="00DC1EE5">
        <w:rPr>
          <w:rFonts w:cs="Times New Roman"/>
          <w:sz w:val="22"/>
          <w:szCs w:val="22"/>
        </w:rPr>
        <w:t>‘opting out’ - that is, refusing to allow their data to be extracted</w:t>
      </w:r>
      <w:r w:rsidR="00996757" w:rsidRPr="00DC1EE5">
        <w:rPr>
          <w:rFonts w:cs="Times New Roman"/>
          <w:sz w:val="22"/>
          <w:szCs w:val="22"/>
        </w:rPr>
        <w:t xml:space="preserve"> for any purpose, with </w:t>
      </w:r>
      <w:r w:rsidR="001669E4" w:rsidRPr="00DC1EE5">
        <w:rPr>
          <w:rFonts w:cs="Times New Roman"/>
          <w:sz w:val="22"/>
          <w:szCs w:val="22"/>
        </w:rPr>
        <w:t xml:space="preserve">potential implications for </w:t>
      </w:r>
      <w:r w:rsidR="00D0546F" w:rsidRPr="00DC1EE5">
        <w:rPr>
          <w:rFonts w:cs="Times New Roman"/>
          <w:sz w:val="22"/>
          <w:szCs w:val="22"/>
        </w:rPr>
        <w:t xml:space="preserve">bona fide academic research. </w:t>
      </w:r>
      <w:r w:rsidR="00996757" w:rsidRPr="00DC1EE5">
        <w:rPr>
          <w:rFonts w:cs="Times New Roman"/>
          <w:sz w:val="22"/>
          <w:szCs w:val="22"/>
        </w:rPr>
        <w:t xml:space="preserve">In addition, if </w:t>
      </w:r>
      <w:r w:rsidR="00396CE4">
        <w:rPr>
          <w:rFonts w:cs="Times New Roman"/>
          <w:sz w:val="22"/>
          <w:szCs w:val="22"/>
        </w:rPr>
        <w:t xml:space="preserve">it is known that </w:t>
      </w:r>
      <w:r w:rsidR="00996757" w:rsidRPr="00DC1EE5">
        <w:rPr>
          <w:rFonts w:cs="Times New Roman"/>
          <w:sz w:val="22"/>
          <w:szCs w:val="22"/>
        </w:rPr>
        <w:t xml:space="preserve">sensitive health data is not collected exclusively in the public interest but potentially for commercial purposes, the risk is that patients’ trust in healthcare professions will be undermined </w:t>
      </w:r>
      <w:r w:rsidR="001E0ACE" w:rsidRPr="00DC1EE5">
        <w:rPr>
          <w:rFonts w:cs="Times New Roman"/>
          <w:sz w:val="22"/>
          <w:szCs w:val="22"/>
        </w:rPr>
        <w:t xml:space="preserve">and information </w:t>
      </w:r>
      <w:r w:rsidR="00EB3E63">
        <w:rPr>
          <w:rFonts w:cs="Times New Roman"/>
          <w:sz w:val="22"/>
          <w:szCs w:val="22"/>
        </w:rPr>
        <w:t xml:space="preserve">from patients </w:t>
      </w:r>
      <w:r w:rsidR="001E0ACE" w:rsidRPr="00DC1EE5">
        <w:rPr>
          <w:rFonts w:cs="Times New Roman"/>
          <w:sz w:val="22"/>
          <w:szCs w:val="22"/>
        </w:rPr>
        <w:t xml:space="preserve">necessary for accurate </w:t>
      </w:r>
      <w:r w:rsidR="00D57440">
        <w:rPr>
          <w:rFonts w:cs="Times New Roman"/>
          <w:sz w:val="22"/>
          <w:szCs w:val="22"/>
        </w:rPr>
        <w:t xml:space="preserve">diagnosis and treatment will </w:t>
      </w:r>
      <w:r w:rsidR="00396CE4">
        <w:rPr>
          <w:rFonts w:cs="Times New Roman"/>
          <w:sz w:val="22"/>
          <w:szCs w:val="22"/>
        </w:rPr>
        <w:t xml:space="preserve">be withheld. </w:t>
      </w:r>
    </w:p>
    <w:p w14:paraId="18F22696" w14:textId="022F7445" w:rsidR="001E0ACE" w:rsidRPr="00DC1EE5" w:rsidRDefault="001E0ACE" w:rsidP="0099442B">
      <w:pPr>
        <w:spacing w:before="100" w:beforeAutospacing="1" w:after="100" w:afterAutospacing="1"/>
        <w:rPr>
          <w:rFonts w:cs="Times New Roman"/>
          <w:sz w:val="22"/>
          <w:szCs w:val="22"/>
        </w:rPr>
      </w:pPr>
      <w:r w:rsidRPr="00DC1EE5">
        <w:rPr>
          <w:rFonts w:eastAsia="Times New Roman" w:cs="Times New Roman"/>
          <w:sz w:val="22"/>
          <w:szCs w:val="22"/>
        </w:rPr>
        <w:t xml:space="preserve">A first necessary step to build the ‘health data solidarity’ that is essential for any world class data regime must be to distinguish very clearly public interest from private interest in all data use. </w:t>
      </w:r>
    </w:p>
    <w:p w14:paraId="4EF7D299" w14:textId="77777777" w:rsidR="0099442B" w:rsidRPr="00DC1EE5" w:rsidRDefault="0099442B" w:rsidP="0099442B">
      <w:pPr>
        <w:rPr>
          <w:rFonts w:eastAsia="Times New Roman" w:cs="Times New Roman"/>
          <w:i/>
          <w:sz w:val="22"/>
          <w:szCs w:val="22"/>
        </w:rPr>
      </w:pPr>
    </w:p>
    <w:p w14:paraId="145723A2" w14:textId="77777777" w:rsidR="0099442B" w:rsidRPr="00DC1EE5" w:rsidRDefault="0099442B" w:rsidP="0099442B">
      <w:pPr>
        <w:rPr>
          <w:b/>
          <w:sz w:val="22"/>
          <w:szCs w:val="22"/>
        </w:rPr>
      </w:pPr>
      <w:r w:rsidRPr="00DC1EE5">
        <w:rPr>
          <w:b/>
          <w:sz w:val="22"/>
          <w:szCs w:val="22"/>
        </w:rPr>
        <w:t>Q1.2.6 To what extent do you agree that creating a new, separate lawful ground for research (subject to suitable safeguards) would support researchers to select the best lawful ground for processing personal data.</w:t>
      </w:r>
    </w:p>
    <w:p w14:paraId="6DFEAE7A" w14:textId="77777777" w:rsidR="0099442B" w:rsidRPr="00DC1EE5" w:rsidRDefault="0099442B" w:rsidP="0099442B">
      <w:pPr>
        <w:rPr>
          <w:b/>
          <w:sz w:val="22"/>
          <w:szCs w:val="22"/>
        </w:rPr>
      </w:pPr>
    </w:p>
    <w:p w14:paraId="5E787A1A" w14:textId="4810BA23" w:rsidR="0099442B" w:rsidRPr="00DC1EE5" w:rsidRDefault="00275E3F" w:rsidP="0099442B">
      <w:pPr>
        <w:rPr>
          <w:b/>
          <w:i/>
          <w:sz w:val="22"/>
          <w:szCs w:val="22"/>
        </w:rPr>
      </w:pPr>
      <w:r w:rsidRPr="00DC1EE5">
        <w:rPr>
          <w:b/>
          <w:i/>
          <w:sz w:val="22"/>
          <w:szCs w:val="22"/>
        </w:rPr>
        <w:t xml:space="preserve">Response: </w:t>
      </w:r>
      <w:r w:rsidR="0099442B" w:rsidRPr="00DC1EE5">
        <w:rPr>
          <w:b/>
          <w:i/>
          <w:sz w:val="22"/>
          <w:szCs w:val="22"/>
        </w:rPr>
        <w:t>Strongly disagree</w:t>
      </w:r>
    </w:p>
    <w:p w14:paraId="5849E153" w14:textId="77777777" w:rsidR="005F31C6" w:rsidRPr="00DC1EE5" w:rsidRDefault="005F31C6">
      <w:pPr>
        <w:rPr>
          <w:sz w:val="22"/>
          <w:szCs w:val="22"/>
        </w:rPr>
      </w:pPr>
    </w:p>
    <w:p w14:paraId="227EE5B7" w14:textId="77777777" w:rsidR="001E0ACE" w:rsidRPr="00DC1EE5" w:rsidRDefault="001E0ACE" w:rsidP="001E0ACE">
      <w:pPr>
        <w:contextualSpacing/>
        <w:rPr>
          <w:sz w:val="22"/>
          <w:szCs w:val="22"/>
        </w:rPr>
      </w:pPr>
      <w:r w:rsidRPr="00DC1EE5">
        <w:rPr>
          <w:sz w:val="22"/>
          <w:szCs w:val="22"/>
        </w:rPr>
        <w:t xml:space="preserve">The UK GDPR already strikes an appropriate balance between the rights of individuals and the interests of researchers. We are concerned that this balance will be put at risk by the introduction of a new legal ground for research purposes. </w:t>
      </w:r>
    </w:p>
    <w:p w14:paraId="10367478" w14:textId="77777777" w:rsidR="001E0ACE" w:rsidRPr="00DC1EE5" w:rsidRDefault="001E0ACE" w:rsidP="001E0ACE">
      <w:pPr>
        <w:contextualSpacing/>
        <w:rPr>
          <w:sz w:val="22"/>
          <w:szCs w:val="22"/>
        </w:rPr>
      </w:pPr>
    </w:p>
    <w:p w14:paraId="2345CF4E" w14:textId="786BA317" w:rsidR="001E0ACE" w:rsidRPr="00DC1EE5" w:rsidRDefault="001E0ACE" w:rsidP="001E0ACE">
      <w:pPr>
        <w:contextualSpacing/>
        <w:rPr>
          <w:sz w:val="22"/>
          <w:szCs w:val="22"/>
        </w:rPr>
      </w:pPr>
      <w:r w:rsidRPr="00DC1EE5">
        <w:rPr>
          <w:sz w:val="22"/>
          <w:szCs w:val="22"/>
        </w:rPr>
        <w:t xml:space="preserve">Any new legal ground would have to maintain the fundamental distinction between publicly funded university research ‘in the public interest’, and the major legal duty of companies whose directors have to ‘act in the way they consider, in good faith, would be most likely to promote the success of the company for the benefit of its members as a whole.’ Any claim by private companies simply to be working ‘in the public interest’ would be seen as a façade and rapidly destroy public trust and public wish to share data, especially when accumulating company profits become evident.  </w:t>
      </w:r>
      <w:r w:rsidR="0014442F" w:rsidRPr="00DC1EE5">
        <w:rPr>
          <w:sz w:val="22"/>
          <w:szCs w:val="22"/>
        </w:rPr>
        <w:t xml:space="preserve">This means that the </w:t>
      </w:r>
      <w:r w:rsidRPr="00DC1EE5">
        <w:rPr>
          <w:sz w:val="22"/>
          <w:szCs w:val="22"/>
        </w:rPr>
        <w:t xml:space="preserve">grounds for public and private research and the benefits they seek </w:t>
      </w:r>
      <w:r w:rsidR="0014442F" w:rsidRPr="00DC1EE5">
        <w:rPr>
          <w:sz w:val="22"/>
          <w:szCs w:val="22"/>
        </w:rPr>
        <w:t xml:space="preserve">must be dealt with </w:t>
      </w:r>
      <w:r w:rsidRPr="00DC1EE5">
        <w:rPr>
          <w:sz w:val="22"/>
          <w:szCs w:val="22"/>
        </w:rPr>
        <w:t>separate</w:t>
      </w:r>
      <w:r w:rsidR="0014442F" w:rsidRPr="00DC1EE5">
        <w:rPr>
          <w:sz w:val="22"/>
          <w:szCs w:val="22"/>
        </w:rPr>
        <w:t>ly</w:t>
      </w:r>
      <w:r w:rsidRPr="00DC1EE5">
        <w:rPr>
          <w:sz w:val="22"/>
          <w:szCs w:val="22"/>
        </w:rPr>
        <w:t>, so that the public can confidently choose where to place their data.</w:t>
      </w:r>
    </w:p>
    <w:p w14:paraId="482E97B6" w14:textId="77777777" w:rsidR="001E0ACE" w:rsidRPr="00DC1EE5" w:rsidRDefault="001E0ACE" w:rsidP="001E0ACE">
      <w:pPr>
        <w:ind w:left="720"/>
        <w:contextualSpacing/>
        <w:rPr>
          <w:sz w:val="22"/>
          <w:szCs w:val="22"/>
        </w:rPr>
      </w:pPr>
    </w:p>
    <w:p w14:paraId="3E7EF9AF" w14:textId="77777777" w:rsidR="001E0ACE" w:rsidRPr="00DC1EE5" w:rsidRDefault="001E0ACE" w:rsidP="001E0ACE">
      <w:pPr>
        <w:contextualSpacing/>
        <w:rPr>
          <w:sz w:val="22"/>
          <w:szCs w:val="22"/>
        </w:rPr>
      </w:pPr>
      <w:r w:rsidRPr="00DC1EE5">
        <w:rPr>
          <w:sz w:val="22"/>
          <w:szCs w:val="22"/>
        </w:rPr>
        <w:t xml:space="preserve">Researchers can be supported by user-friendly guidance from the ICO to decide on the best lawful ground for processing. This would allow researchers to meet legal requirements without affecting the legal protection currently available to individuals. </w:t>
      </w:r>
    </w:p>
    <w:p w14:paraId="283D7CE0" w14:textId="77777777" w:rsidR="001E0ACE" w:rsidRPr="00DC1EE5" w:rsidRDefault="001E0ACE" w:rsidP="001E0ACE">
      <w:pPr>
        <w:ind w:firstLine="720"/>
        <w:rPr>
          <w:rFonts w:eastAsia="Times New Roman" w:cs="Times New Roman"/>
          <w:b/>
          <w:bCs/>
          <w:sz w:val="22"/>
          <w:szCs w:val="22"/>
        </w:rPr>
      </w:pPr>
    </w:p>
    <w:p w14:paraId="59EC7018" w14:textId="639554DE" w:rsidR="001E0ACE" w:rsidRPr="00D57440" w:rsidRDefault="001E0ACE" w:rsidP="001E0ACE">
      <w:pPr>
        <w:rPr>
          <w:rFonts w:eastAsia="Times New Roman" w:cs="Times New Roman"/>
          <w:b/>
          <w:bCs/>
          <w:color w:val="FF0000"/>
          <w:sz w:val="22"/>
          <w:szCs w:val="22"/>
        </w:rPr>
      </w:pPr>
      <w:r w:rsidRPr="00DC1EE5">
        <w:rPr>
          <w:rFonts w:eastAsia="Times New Roman" w:cs="Times New Roman"/>
          <w:sz w:val="22"/>
          <w:szCs w:val="22"/>
        </w:rPr>
        <w:t xml:space="preserve">Great care must be taken not to develop a digital regime that runs counter to the potential for ‘global good’ that digital health possesses.  </w:t>
      </w:r>
      <w:r w:rsidRPr="0035367F">
        <w:rPr>
          <w:rFonts w:eastAsia="Times New Roman" w:cs="Times New Roman"/>
          <w:sz w:val="22"/>
          <w:szCs w:val="22"/>
        </w:rPr>
        <w:t xml:space="preserve">This will occur if we support </w:t>
      </w:r>
      <w:r w:rsidR="001A1D74">
        <w:rPr>
          <w:rFonts w:eastAsia="Times New Roman" w:cs="Times New Roman"/>
          <w:sz w:val="22"/>
          <w:szCs w:val="22"/>
        </w:rPr>
        <w:t xml:space="preserve">the </w:t>
      </w:r>
      <w:r w:rsidR="00093B3C">
        <w:rPr>
          <w:rFonts w:eastAsia="Times New Roman" w:cs="Times New Roman"/>
          <w:sz w:val="22"/>
          <w:szCs w:val="22"/>
        </w:rPr>
        <w:t>development</w:t>
      </w:r>
      <w:r w:rsidRPr="0035367F">
        <w:rPr>
          <w:rFonts w:eastAsia="Times New Roman" w:cs="Times New Roman"/>
          <w:sz w:val="22"/>
          <w:szCs w:val="22"/>
        </w:rPr>
        <w:t xml:space="preserve"> of</w:t>
      </w:r>
      <w:r w:rsidR="00210335">
        <w:rPr>
          <w:rFonts w:eastAsia="Times New Roman" w:cs="Times New Roman"/>
          <w:sz w:val="22"/>
          <w:szCs w:val="22"/>
        </w:rPr>
        <w:t xml:space="preserve"> </w:t>
      </w:r>
      <w:r w:rsidRPr="0035367F">
        <w:rPr>
          <w:rFonts w:eastAsia="Times New Roman" w:cs="Times New Roman"/>
          <w:sz w:val="22"/>
          <w:szCs w:val="22"/>
        </w:rPr>
        <w:t>power</w:t>
      </w:r>
      <w:r w:rsidR="00210335">
        <w:rPr>
          <w:rFonts w:eastAsia="Times New Roman" w:cs="Times New Roman"/>
          <w:sz w:val="22"/>
          <w:szCs w:val="22"/>
        </w:rPr>
        <w:t xml:space="preserve">ful </w:t>
      </w:r>
      <w:r w:rsidR="00817869">
        <w:rPr>
          <w:rFonts w:eastAsia="Times New Roman" w:cs="Times New Roman"/>
          <w:sz w:val="22"/>
          <w:szCs w:val="22"/>
        </w:rPr>
        <w:t>business</w:t>
      </w:r>
      <w:r w:rsidR="005E2CF3">
        <w:rPr>
          <w:rFonts w:eastAsia="Times New Roman" w:cs="Times New Roman"/>
          <w:sz w:val="22"/>
          <w:szCs w:val="22"/>
        </w:rPr>
        <w:t>es</w:t>
      </w:r>
      <w:r w:rsidR="00817869">
        <w:rPr>
          <w:rFonts w:eastAsia="Times New Roman" w:cs="Times New Roman"/>
          <w:sz w:val="22"/>
          <w:szCs w:val="22"/>
        </w:rPr>
        <w:t xml:space="preserve"> </w:t>
      </w:r>
      <w:r w:rsidRPr="0035367F">
        <w:rPr>
          <w:rFonts w:eastAsia="Times New Roman" w:cs="Times New Roman"/>
          <w:sz w:val="22"/>
          <w:szCs w:val="22"/>
        </w:rPr>
        <w:t xml:space="preserve">and unfettered access to, and control of, data in order to achieve </w:t>
      </w:r>
      <w:r w:rsidR="0010768E">
        <w:rPr>
          <w:rFonts w:eastAsia="Times New Roman" w:cs="Times New Roman"/>
          <w:sz w:val="22"/>
          <w:szCs w:val="22"/>
        </w:rPr>
        <w:t>our</w:t>
      </w:r>
      <w:r w:rsidRPr="0035367F">
        <w:rPr>
          <w:rFonts w:eastAsia="Times New Roman" w:cs="Times New Roman"/>
          <w:sz w:val="22"/>
          <w:szCs w:val="22"/>
        </w:rPr>
        <w:t xml:space="preserve"> government</w:t>
      </w:r>
      <w:r w:rsidR="005255E3">
        <w:rPr>
          <w:rFonts w:eastAsia="Times New Roman" w:cs="Times New Roman"/>
          <w:sz w:val="22"/>
          <w:szCs w:val="22"/>
        </w:rPr>
        <w:t>’s wish</w:t>
      </w:r>
      <w:r w:rsidR="00663393">
        <w:rPr>
          <w:rFonts w:eastAsia="Times New Roman" w:cs="Times New Roman"/>
          <w:sz w:val="22"/>
          <w:szCs w:val="22"/>
        </w:rPr>
        <w:t xml:space="preserve"> for </w:t>
      </w:r>
      <w:r w:rsidRPr="0035367F">
        <w:rPr>
          <w:rFonts w:eastAsia="Times New Roman" w:cs="Times New Roman"/>
          <w:sz w:val="22"/>
          <w:szCs w:val="22"/>
        </w:rPr>
        <w:t xml:space="preserve"> ‘super-power’ status in AI technologies. Such actions</w:t>
      </w:r>
      <w:r w:rsidR="00673912">
        <w:rPr>
          <w:rFonts w:eastAsia="Times New Roman" w:cs="Times New Roman"/>
          <w:position w:val="6"/>
          <w:sz w:val="22"/>
          <w:szCs w:val="22"/>
        </w:rPr>
        <w:t xml:space="preserve"> </w:t>
      </w:r>
      <w:r w:rsidR="00673912">
        <w:rPr>
          <w:rFonts w:eastAsia="Times New Roman" w:cs="Times New Roman"/>
          <w:sz w:val="22"/>
          <w:szCs w:val="22"/>
        </w:rPr>
        <w:t>to improve our</w:t>
      </w:r>
      <w:r w:rsidR="00673912" w:rsidRPr="0035367F">
        <w:rPr>
          <w:rFonts w:eastAsia="Times New Roman" w:cs="Times New Roman"/>
          <w:sz w:val="22"/>
          <w:szCs w:val="22"/>
        </w:rPr>
        <w:t xml:space="preserve"> economic and geopolitical competitiveness</w:t>
      </w:r>
      <w:r w:rsidR="007245A8">
        <w:rPr>
          <w:rStyle w:val="FootnoteReference"/>
          <w:rFonts w:eastAsia="Times New Roman" w:cs="Times New Roman"/>
          <w:sz w:val="22"/>
          <w:szCs w:val="22"/>
        </w:rPr>
        <w:footnoteReference w:id="2"/>
      </w:r>
      <w:r w:rsidR="00673912">
        <w:rPr>
          <w:rFonts w:eastAsia="Times New Roman" w:cs="Times New Roman"/>
          <w:sz w:val="22"/>
          <w:szCs w:val="22"/>
        </w:rPr>
        <w:t xml:space="preserve"> </w:t>
      </w:r>
      <w:r w:rsidR="00393BDA">
        <w:rPr>
          <w:rFonts w:eastAsia="Times New Roman" w:cs="Times New Roman"/>
          <w:sz w:val="22"/>
          <w:szCs w:val="22"/>
        </w:rPr>
        <w:t xml:space="preserve">will put us in direct opposition </w:t>
      </w:r>
      <w:r w:rsidR="00FF42FF">
        <w:rPr>
          <w:rFonts w:eastAsia="Times New Roman" w:cs="Times New Roman"/>
          <w:sz w:val="22"/>
          <w:szCs w:val="22"/>
        </w:rPr>
        <w:t>to</w:t>
      </w:r>
      <w:r w:rsidRPr="0035367F">
        <w:rPr>
          <w:rFonts w:eastAsia="Times New Roman" w:cs="Times New Roman"/>
          <w:sz w:val="22"/>
          <w:szCs w:val="22"/>
        </w:rPr>
        <w:t xml:space="preserve"> any </w:t>
      </w:r>
      <w:r w:rsidR="00DB3701">
        <w:rPr>
          <w:rFonts w:eastAsia="Times New Roman" w:cs="Times New Roman"/>
          <w:sz w:val="22"/>
          <w:szCs w:val="22"/>
        </w:rPr>
        <w:t xml:space="preserve">global </w:t>
      </w:r>
      <w:r w:rsidRPr="0035367F">
        <w:rPr>
          <w:rFonts w:eastAsia="Times New Roman" w:cs="Times New Roman"/>
          <w:sz w:val="22"/>
          <w:szCs w:val="22"/>
        </w:rPr>
        <w:t>vision of universal health care</w:t>
      </w:r>
      <w:r w:rsidR="00B029CF">
        <w:rPr>
          <w:rStyle w:val="FootnoteReference"/>
          <w:rFonts w:eastAsia="Times New Roman" w:cs="Times New Roman"/>
          <w:sz w:val="22"/>
          <w:szCs w:val="22"/>
        </w:rPr>
        <w:footnoteReference w:id="3"/>
      </w:r>
      <w:r w:rsidRPr="0035367F">
        <w:rPr>
          <w:rFonts w:eastAsia="Times New Roman" w:cs="Times New Roman"/>
          <w:sz w:val="22"/>
          <w:szCs w:val="22"/>
        </w:rPr>
        <w:t xml:space="preserve">, </w:t>
      </w:r>
      <w:r w:rsidR="00F06001">
        <w:rPr>
          <w:rFonts w:eastAsia="Times New Roman" w:cs="Times New Roman"/>
          <w:sz w:val="22"/>
          <w:szCs w:val="22"/>
        </w:rPr>
        <w:t xml:space="preserve">and </w:t>
      </w:r>
      <w:r w:rsidRPr="0035367F">
        <w:rPr>
          <w:rFonts w:eastAsia="Times New Roman" w:cs="Times New Roman"/>
          <w:sz w:val="22"/>
          <w:szCs w:val="22"/>
        </w:rPr>
        <w:t xml:space="preserve">will </w:t>
      </w:r>
      <w:r w:rsidR="005E2CF3">
        <w:rPr>
          <w:rFonts w:eastAsia="Times New Roman" w:cs="Times New Roman"/>
          <w:sz w:val="22"/>
          <w:szCs w:val="22"/>
        </w:rPr>
        <w:t xml:space="preserve">help </w:t>
      </w:r>
      <w:r w:rsidRPr="0035367F">
        <w:rPr>
          <w:rFonts w:eastAsia="Times New Roman" w:cs="Times New Roman"/>
          <w:sz w:val="22"/>
          <w:szCs w:val="22"/>
        </w:rPr>
        <w:t>lead to</w:t>
      </w:r>
      <w:r w:rsidR="00F60CFB">
        <w:rPr>
          <w:rFonts w:eastAsia="Times New Roman" w:cs="Times New Roman"/>
          <w:sz w:val="22"/>
          <w:szCs w:val="22"/>
        </w:rPr>
        <w:t xml:space="preserve"> the</w:t>
      </w:r>
      <w:r w:rsidRPr="0035367F">
        <w:rPr>
          <w:rFonts w:eastAsia="Times New Roman" w:cs="Times New Roman"/>
          <w:sz w:val="22"/>
          <w:szCs w:val="22"/>
        </w:rPr>
        <w:t xml:space="preserve"> fragmentation of global governance approaches and erosion of multilateralism</w:t>
      </w:r>
      <w:r w:rsidR="00F06001">
        <w:rPr>
          <w:rFonts w:eastAsia="Times New Roman" w:cs="Times New Roman"/>
          <w:sz w:val="22"/>
          <w:szCs w:val="22"/>
        </w:rPr>
        <w:t>.</w:t>
      </w:r>
      <w:r w:rsidR="002A7736">
        <w:rPr>
          <w:rStyle w:val="FootnoteReference"/>
          <w:rFonts w:eastAsia="Times New Roman" w:cs="Times New Roman"/>
          <w:sz w:val="22"/>
          <w:szCs w:val="22"/>
        </w:rPr>
        <w:footnoteReference w:id="4"/>
      </w:r>
      <w:r w:rsidRPr="00DC1EE5">
        <w:rPr>
          <w:rFonts w:eastAsia="Times New Roman" w:cs="Times New Roman"/>
          <w:b/>
          <w:bCs/>
          <w:sz w:val="22"/>
          <w:szCs w:val="22"/>
        </w:rPr>
        <w:t xml:space="preserve"> </w:t>
      </w:r>
    </w:p>
    <w:p w14:paraId="545C98FF" w14:textId="77777777" w:rsidR="0014442F" w:rsidRPr="00DC1EE5" w:rsidRDefault="0014442F" w:rsidP="001E0ACE">
      <w:pPr>
        <w:rPr>
          <w:rFonts w:eastAsia="Times New Roman" w:cs="Times New Roman"/>
          <w:b/>
          <w:bCs/>
          <w:sz w:val="22"/>
          <w:szCs w:val="22"/>
        </w:rPr>
      </w:pPr>
    </w:p>
    <w:p w14:paraId="76B06DD5" w14:textId="5CBE204E" w:rsidR="0014442F" w:rsidRPr="00DC1EE5" w:rsidRDefault="0014442F" w:rsidP="0014442F">
      <w:pPr>
        <w:pStyle w:val="NormalWeb"/>
        <w:rPr>
          <w:rFonts w:asciiTheme="minorHAnsi" w:hAnsiTheme="minorHAnsi"/>
          <w:sz w:val="22"/>
          <w:szCs w:val="22"/>
          <w:u w:val="single"/>
        </w:rPr>
      </w:pPr>
      <w:r w:rsidRPr="00DC1EE5">
        <w:rPr>
          <w:rFonts w:asciiTheme="minorHAnsi" w:eastAsia="Times New Roman" w:hAnsiTheme="minorHAnsi"/>
          <w:b/>
          <w:bCs/>
          <w:sz w:val="22"/>
          <w:szCs w:val="22"/>
          <w:u w:val="single"/>
        </w:rPr>
        <w:t xml:space="preserve">Chapter Two: Reducing burdens on businesses and delivering better outcomes for people. </w:t>
      </w:r>
    </w:p>
    <w:p w14:paraId="4D9CAD9D" w14:textId="77777777" w:rsidR="0014442F" w:rsidRPr="00DC1EE5" w:rsidRDefault="0014442F" w:rsidP="0014442F">
      <w:pPr>
        <w:shd w:val="clear" w:color="auto" w:fill="FFFFFF"/>
        <w:spacing w:before="100" w:beforeAutospacing="1" w:after="100" w:afterAutospacing="1"/>
        <w:outlineLvl w:val="3"/>
        <w:rPr>
          <w:rFonts w:eastAsia="Times New Roman" w:cs="Arial"/>
          <w:b/>
          <w:bCs/>
          <w:sz w:val="22"/>
          <w:szCs w:val="22"/>
          <w:lang w:eastAsia="en-GB"/>
        </w:rPr>
      </w:pPr>
      <w:r w:rsidRPr="00DC1EE5">
        <w:rPr>
          <w:rFonts w:eastAsia="Times New Roman" w:cs="Arial"/>
          <w:b/>
          <w:bCs/>
          <w:caps/>
          <w:sz w:val="22"/>
          <w:szCs w:val="22"/>
          <w:lang w:eastAsia="en-GB"/>
        </w:rPr>
        <w:t xml:space="preserve">Q2.2.1. </w:t>
      </w:r>
      <w:r w:rsidRPr="00DC1EE5">
        <w:rPr>
          <w:rFonts w:eastAsia="Times New Roman" w:cs="Arial"/>
          <w:b/>
          <w:bCs/>
          <w:sz w:val="22"/>
          <w:szCs w:val="22"/>
          <w:lang w:eastAsia="en-GB"/>
        </w:rPr>
        <w:t>To what extent do you agree with the following statement: ‘the accountability framework as set out in current legislation should i) feature fewer prescriptive requirements, ii) be more flexible, and iii) be more risk-based’?</w:t>
      </w:r>
    </w:p>
    <w:p w14:paraId="0EBD3B73" w14:textId="25AF4057" w:rsidR="0014442F" w:rsidRPr="00DC1EE5" w:rsidRDefault="00275E3F" w:rsidP="0014442F">
      <w:pPr>
        <w:shd w:val="clear" w:color="auto" w:fill="FFFFFF"/>
        <w:spacing w:before="100" w:beforeAutospacing="1" w:after="100" w:afterAutospacing="1"/>
        <w:outlineLvl w:val="3"/>
        <w:rPr>
          <w:rFonts w:eastAsia="Times New Roman" w:cs="Arial"/>
          <w:b/>
          <w:bCs/>
          <w:caps/>
          <w:sz w:val="22"/>
          <w:szCs w:val="22"/>
          <w:lang w:eastAsia="en-GB"/>
        </w:rPr>
      </w:pPr>
      <w:r w:rsidRPr="00DC1EE5">
        <w:rPr>
          <w:rFonts w:eastAsia="Times New Roman" w:cs="Arial"/>
          <w:b/>
          <w:bCs/>
          <w:i/>
          <w:sz w:val="22"/>
          <w:szCs w:val="22"/>
          <w:lang w:eastAsia="en-GB"/>
        </w:rPr>
        <w:t xml:space="preserve">Response: </w:t>
      </w:r>
      <w:r w:rsidR="0014442F" w:rsidRPr="00DC1EE5">
        <w:rPr>
          <w:rFonts w:eastAsia="Times New Roman" w:cs="Arial"/>
          <w:b/>
          <w:bCs/>
          <w:sz w:val="22"/>
          <w:szCs w:val="22"/>
          <w:lang w:eastAsia="en-GB"/>
        </w:rPr>
        <w:t>Strongly disagree</w:t>
      </w:r>
    </w:p>
    <w:p w14:paraId="0C9E7556" w14:textId="47138E14" w:rsidR="0014442F" w:rsidRPr="00DC1EE5" w:rsidRDefault="0014442F" w:rsidP="0014442F">
      <w:pPr>
        <w:shd w:val="clear" w:color="auto" w:fill="FFFFFF"/>
        <w:spacing w:before="100" w:beforeAutospacing="1" w:after="100" w:afterAutospacing="1"/>
        <w:rPr>
          <w:rFonts w:eastAsia="Times New Roman" w:cs="Times New Roman"/>
          <w:sz w:val="22"/>
          <w:szCs w:val="22"/>
          <w:lang w:eastAsia="en-GB"/>
        </w:rPr>
      </w:pPr>
      <w:r w:rsidRPr="00DC1EE5">
        <w:rPr>
          <w:rFonts w:eastAsia="Times New Roman" w:cs="Times New Roman"/>
          <w:sz w:val="22"/>
          <w:szCs w:val="22"/>
          <w:lang w:eastAsia="en-GB"/>
        </w:rPr>
        <w:t>We strongly disagree with the statement in Q2.2.1 People need certainty that their agreement for the use of their personal health data will be followed: for example, to be kept fully anonymised and/or used only in ways, and with organisations, that they have specified.  Clear accountability rules are absolutely necessary for legal certainty and enforceability. Fewer prescriptive requirements will diminish the rights of individuals.</w:t>
      </w:r>
    </w:p>
    <w:p w14:paraId="36080D74" w14:textId="77777777" w:rsidR="0014442F" w:rsidRPr="00DC1EE5" w:rsidRDefault="0014442F" w:rsidP="0014442F">
      <w:pPr>
        <w:shd w:val="clear" w:color="auto" w:fill="FFFFFF"/>
        <w:spacing w:before="100" w:beforeAutospacing="1" w:after="100" w:afterAutospacing="1"/>
        <w:outlineLvl w:val="3"/>
        <w:rPr>
          <w:rFonts w:eastAsia="Times New Roman" w:cs="Arial"/>
          <w:b/>
          <w:bCs/>
          <w:caps/>
          <w:sz w:val="22"/>
          <w:szCs w:val="22"/>
          <w:lang w:eastAsia="en-GB"/>
        </w:rPr>
      </w:pPr>
      <w:r w:rsidRPr="00DC1EE5">
        <w:rPr>
          <w:rFonts w:eastAsia="Times New Roman" w:cs="Arial"/>
          <w:b/>
          <w:bCs/>
          <w:caps/>
          <w:sz w:val="22"/>
          <w:szCs w:val="22"/>
          <w:lang w:eastAsia="en-GB"/>
        </w:rPr>
        <w:t xml:space="preserve">Q2.2.1A. </w:t>
      </w:r>
      <w:r w:rsidRPr="00DC1EE5">
        <w:rPr>
          <w:rFonts w:eastAsia="Times New Roman" w:cs="Arial"/>
          <w:b/>
          <w:bCs/>
          <w:sz w:val="22"/>
          <w:szCs w:val="22"/>
          <w:lang w:eastAsia="en-GB"/>
        </w:rPr>
        <w:t>Please explain your answer, and provide supporting evidence where possible.</w:t>
      </w:r>
    </w:p>
    <w:p w14:paraId="024B5953" w14:textId="63A77F95" w:rsidR="0014442F" w:rsidRPr="00DC1EE5" w:rsidRDefault="0014442F" w:rsidP="0014442F">
      <w:pPr>
        <w:shd w:val="clear" w:color="auto" w:fill="FFFFFF"/>
        <w:spacing w:before="100" w:beforeAutospacing="1" w:after="100" w:afterAutospacing="1"/>
        <w:rPr>
          <w:rFonts w:eastAsia="Times New Roman" w:cs="Times New Roman"/>
          <w:sz w:val="22"/>
          <w:szCs w:val="22"/>
          <w:lang w:eastAsia="en-GB"/>
        </w:rPr>
      </w:pPr>
      <w:r w:rsidRPr="00DC1EE5">
        <w:rPr>
          <w:rFonts w:eastAsia="Times New Roman" w:cs="Times New Roman"/>
          <w:sz w:val="22"/>
          <w:szCs w:val="22"/>
          <w:lang w:eastAsia="en-GB"/>
        </w:rPr>
        <w:t>We are concerned that the Government presentation within this proposal misreads the UK GDPR.</w:t>
      </w:r>
      <w:r w:rsidR="00EB3E63">
        <w:rPr>
          <w:rFonts w:eastAsia="Times New Roman" w:cs="Times New Roman"/>
          <w:sz w:val="22"/>
          <w:szCs w:val="22"/>
          <w:lang w:eastAsia="en-GB"/>
        </w:rPr>
        <w:t xml:space="preserve"> </w:t>
      </w:r>
      <w:r w:rsidRPr="00DC1EE5">
        <w:rPr>
          <w:rFonts w:eastAsia="Times New Roman" w:cs="Times New Roman"/>
          <w:sz w:val="22"/>
          <w:szCs w:val="22"/>
          <w:lang w:eastAsia="en-GB"/>
        </w:rPr>
        <w:t>Generally, responsibilities under the UK GDPR are influenced by the level of risk involved, with increased risk requiring stronger data policies and stronger data security.</w:t>
      </w:r>
    </w:p>
    <w:p w14:paraId="1FAE866B" w14:textId="5D7FBD0B" w:rsidR="0014442F" w:rsidRPr="00DC1EE5" w:rsidRDefault="0014442F" w:rsidP="0014442F">
      <w:pPr>
        <w:shd w:val="clear" w:color="auto" w:fill="FFFFFF"/>
        <w:spacing w:before="100" w:beforeAutospacing="1" w:after="100" w:afterAutospacing="1"/>
        <w:rPr>
          <w:rFonts w:eastAsia="Times New Roman" w:cs="Times New Roman"/>
          <w:sz w:val="22"/>
          <w:szCs w:val="22"/>
          <w:lang w:eastAsia="en-GB"/>
        </w:rPr>
      </w:pPr>
      <w:r w:rsidRPr="00DC1EE5">
        <w:rPr>
          <w:rFonts w:eastAsia="Times New Roman" w:cs="Times New Roman"/>
          <w:sz w:val="22"/>
          <w:szCs w:val="22"/>
          <w:lang w:eastAsia="en-GB"/>
        </w:rPr>
        <w:lastRenderedPageBreak/>
        <w:t>The UK GDPR accountability framework is flexible and provides proportionate accountability depending on the ‘nature, scope, context and purposes’ of data use. This includes differences in the use of records; security measures (e.g. encryption and pseudonymisation); and contractual safeguards in ‘data use’ agreements. There are also a number of tasks that organisations only have to carry out if a certain risk threshold is met. Examples include: Data Protection Impact Assessments only for high-risk activities; notification of data breaches to the ICO only if they present a risk for individuals, and informing individuals only if they are likely to result in a high risk for their rights and freedom; Data Protection Officers being required only for public bodies or authorities, or for activities presenting a high risk for individuals.</w:t>
      </w:r>
    </w:p>
    <w:p w14:paraId="718C3223" w14:textId="0884446A" w:rsidR="001E0ACE" w:rsidRPr="00DC1EE5" w:rsidRDefault="0014442F" w:rsidP="0014442F">
      <w:pPr>
        <w:shd w:val="clear" w:color="auto" w:fill="FFFFFF"/>
        <w:spacing w:before="100" w:beforeAutospacing="1" w:after="100" w:afterAutospacing="1"/>
        <w:rPr>
          <w:rFonts w:eastAsia="Times New Roman" w:cs="Times New Roman"/>
          <w:sz w:val="22"/>
          <w:szCs w:val="22"/>
          <w:lang w:eastAsia="en-GB"/>
        </w:rPr>
      </w:pPr>
      <w:r w:rsidRPr="00DC1EE5">
        <w:rPr>
          <w:rFonts w:eastAsia="Times New Roman" w:cs="Times New Roman"/>
          <w:sz w:val="22"/>
          <w:szCs w:val="22"/>
          <w:lang w:eastAsia="en-GB"/>
        </w:rPr>
        <w:t>Clear legal requirements are the only way to promote legal certainty, and organisations need that certainty in order to be sure that they know what they have to do in order to demonstrate compliance. This clarity is also needed to ensure that redress is enforceable when required for any individuals.</w:t>
      </w:r>
    </w:p>
    <w:p w14:paraId="2A6C55F7" w14:textId="77777777" w:rsidR="001E0ACE" w:rsidRDefault="001E0ACE">
      <w:pPr>
        <w:rPr>
          <w:sz w:val="22"/>
          <w:szCs w:val="22"/>
        </w:rPr>
      </w:pPr>
    </w:p>
    <w:p w14:paraId="5386F3D8" w14:textId="77777777" w:rsidR="00396CE4" w:rsidRPr="00DC1EE5" w:rsidRDefault="00396CE4">
      <w:pPr>
        <w:rPr>
          <w:sz w:val="22"/>
          <w:szCs w:val="22"/>
        </w:rPr>
      </w:pPr>
    </w:p>
    <w:p w14:paraId="25561395" w14:textId="77777777" w:rsidR="005F31C6" w:rsidRPr="00DC1EE5" w:rsidRDefault="005F31C6">
      <w:pPr>
        <w:rPr>
          <w:b/>
          <w:sz w:val="22"/>
          <w:szCs w:val="22"/>
          <w:u w:val="single"/>
        </w:rPr>
      </w:pPr>
      <w:r w:rsidRPr="00DC1EE5">
        <w:rPr>
          <w:b/>
          <w:sz w:val="22"/>
          <w:szCs w:val="22"/>
          <w:u w:val="single"/>
        </w:rPr>
        <w:t>Chapter 4: Delivering better public services</w:t>
      </w:r>
    </w:p>
    <w:p w14:paraId="23B078E6" w14:textId="77777777" w:rsidR="004042A0" w:rsidRPr="00DC1EE5" w:rsidRDefault="004042A0" w:rsidP="00FF50D6">
      <w:pPr>
        <w:rPr>
          <w:sz w:val="22"/>
          <w:szCs w:val="22"/>
        </w:rPr>
      </w:pPr>
    </w:p>
    <w:p w14:paraId="1CDACCC9" w14:textId="77777777" w:rsidR="004042A0" w:rsidRPr="00DC1EE5" w:rsidRDefault="004042A0" w:rsidP="004042A0">
      <w:pPr>
        <w:rPr>
          <w:b/>
          <w:sz w:val="22"/>
          <w:szCs w:val="22"/>
        </w:rPr>
      </w:pPr>
      <w:r w:rsidRPr="00DC1EE5">
        <w:rPr>
          <w:b/>
          <w:sz w:val="22"/>
          <w:szCs w:val="22"/>
        </w:rPr>
        <w:t xml:space="preserve">Q4.2.1. To what extent do you agree with the following statement: ‘Public service delivery powers under section 35 of the Digital Economy Act 2017 should be extended to help improve outcomes for businesses as well as for individuals and households’? </w:t>
      </w:r>
    </w:p>
    <w:p w14:paraId="41E3F912" w14:textId="04517BD6" w:rsidR="004042A0" w:rsidRPr="00DC1EE5" w:rsidRDefault="00275E3F" w:rsidP="004042A0">
      <w:pPr>
        <w:shd w:val="clear" w:color="auto" w:fill="FFFFFF"/>
        <w:spacing w:before="100" w:beforeAutospacing="1" w:after="100" w:afterAutospacing="1"/>
        <w:rPr>
          <w:rFonts w:eastAsia="Times New Roman" w:cs="Times New Roman"/>
          <w:b/>
          <w:bCs/>
          <w:i/>
          <w:sz w:val="22"/>
          <w:szCs w:val="22"/>
          <w:lang w:eastAsia="en-GB"/>
        </w:rPr>
      </w:pPr>
      <w:r w:rsidRPr="00DC1EE5">
        <w:rPr>
          <w:b/>
          <w:bCs/>
          <w:i/>
          <w:sz w:val="22"/>
          <w:szCs w:val="22"/>
        </w:rPr>
        <w:t xml:space="preserve">Response: </w:t>
      </w:r>
      <w:r w:rsidR="004042A0" w:rsidRPr="00DC1EE5">
        <w:rPr>
          <w:b/>
          <w:bCs/>
          <w:i/>
          <w:sz w:val="22"/>
          <w:szCs w:val="22"/>
        </w:rPr>
        <w:t>Strongly disagree</w:t>
      </w:r>
    </w:p>
    <w:p w14:paraId="61D70D97" w14:textId="33BC0B5D" w:rsidR="004042A0" w:rsidRPr="00181568" w:rsidRDefault="004042A0" w:rsidP="00B4266F">
      <w:pPr>
        <w:rPr>
          <w:rFonts w:eastAsia="Times New Roman" w:cs="Times New Roman"/>
          <w:color w:val="FF0000"/>
          <w:sz w:val="22"/>
          <w:szCs w:val="22"/>
          <w:lang w:eastAsia="en-GB"/>
        </w:rPr>
      </w:pPr>
      <w:r w:rsidRPr="00DC1EE5">
        <w:rPr>
          <w:rFonts w:eastAsia="Times New Roman" w:cs="Times New Roman"/>
          <w:sz w:val="22"/>
          <w:szCs w:val="22"/>
          <w:lang w:eastAsia="en-GB"/>
        </w:rPr>
        <w:t xml:space="preserve">It is imperative to maintain the clear differences between public </w:t>
      </w:r>
      <w:r w:rsidR="0000625F">
        <w:rPr>
          <w:rFonts w:eastAsia="Times New Roman" w:cs="Times New Roman"/>
          <w:sz w:val="22"/>
          <w:szCs w:val="22"/>
          <w:lang w:eastAsia="en-GB"/>
        </w:rPr>
        <w:t xml:space="preserve">and private </w:t>
      </w:r>
      <w:r w:rsidRPr="00DC1EE5">
        <w:rPr>
          <w:rFonts w:eastAsia="Times New Roman" w:cs="Times New Roman"/>
          <w:sz w:val="22"/>
          <w:szCs w:val="22"/>
          <w:lang w:eastAsia="en-GB"/>
        </w:rPr>
        <w:t>interest</w:t>
      </w:r>
      <w:r w:rsidR="0000625F">
        <w:rPr>
          <w:rFonts w:eastAsia="Times New Roman" w:cs="Times New Roman"/>
          <w:sz w:val="22"/>
          <w:szCs w:val="22"/>
          <w:lang w:eastAsia="en-GB"/>
        </w:rPr>
        <w:t>s</w:t>
      </w:r>
      <w:r w:rsidRPr="00DC1EE5">
        <w:rPr>
          <w:rFonts w:eastAsia="Times New Roman" w:cs="Times New Roman"/>
          <w:sz w:val="22"/>
          <w:szCs w:val="22"/>
          <w:lang w:eastAsia="en-GB"/>
        </w:rPr>
        <w:t xml:space="preserve"> in the sharing and processing of healthcare personal data to enable ‘health data solidarity’. </w:t>
      </w:r>
      <w:r w:rsidR="00575B78" w:rsidRPr="007F0EE5">
        <w:rPr>
          <w:rFonts w:eastAsia="Times New Roman" w:cs="Times New Roman"/>
          <w:sz w:val="22"/>
          <w:szCs w:val="22"/>
          <w:lang w:eastAsia="en-GB"/>
        </w:rPr>
        <w:t xml:space="preserve">It is therefore extremely worrying that the Cabinet </w:t>
      </w:r>
      <w:r w:rsidR="00D6722A" w:rsidRPr="007F0EE5">
        <w:rPr>
          <w:rFonts w:eastAsia="Times New Roman" w:cs="Times New Roman"/>
          <w:sz w:val="22"/>
          <w:szCs w:val="22"/>
          <w:lang w:eastAsia="en-GB"/>
        </w:rPr>
        <w:t>Office</w:t>
      </w:r>
      <w:r w:rsidR="00181568" w:rsidRPr="007F0EE5">
        <w:rPr>
          <w:rFonts w:eastAsia="Times New Roman" w:cs="Times New Roman"/>
          <w:sz w:val="22"/>
          <w:szCs w:val="22"/>
          <w:lang w:eastAsia="en-GB"/>
        </w:rPr>
        <w:t xml:space="preserve"> – currently driving changes to reduce barriers for sharing healthcare data with private companies - </w:t>
      </w:r>
      <w:r w:rsidR="00EB3E63" w:rsidRPr="007F0EE5">
        <w:rPr>
          <w:rFonts w:eastAsia="Times New Roman" w:cs="Times New Roman"/>
          <w:sz w:val="22"/>
          <w:szCs w:val="22"/>
          <w:lang w:eastAsia="en-GB"/>
        </w:rPr>
        <w:t xml:space="preserve"> is directly influenced by the private sector</w:t>
      </w:r>
      <w:r w:rsidR="00ED1B9B">
        <w:rPr>
          <w:rFonts w:eastAsia="Times New Roman" w:cs="Times New Roman"/>
          <w:sz w:val="22"/>
          <w:szCs w:val="22"/>
          <w:lang w:eastAsia="en-GB"/>
        </w:rPr>
        <w:t xml:space="preserve">. For </w:t>
      </w:r>
      <w:r w:rsidR="00D6722A" w:rsidRPr="007F0EE5">
        <w:rPr>
          <w:rFonts w:eastAsia="Times New Roman" w:cs="Times New Roman"/>
          <w:sz w:val="22"/>
          <w:szCs w:val="22"/>
          <w:lang w:eastAsia="en-GB"/>
        </w:rPr>
        <w:t>example,</w:t>
      </w:r>
      <w:r w:rsidR="00575B78" w:rsidRPr="007F0EE5">
        <w:rPr>
          <w:rFonts w:eastAsia="Times New Roman" w:cs="Times New Roman"/>
          <w:sz w:val="22"/>
          <w:szCs w:val="22"/>
          <w:lang w:eastAsia="en-GB"/>
        </w:rPr>
        <w:t xml:space="preserve"> </w:t>
      </w:r>
      <w:r w:rsidR="00EB3E63" w:rsidRPr="007F0EE5">
        <w:rPr>
          <w:rFonts w:eastAsia="Times New Roman" w:cs="Times New Roman"/>
          <w:sz w:val="22"/>
          <w:szCs w:val="22"/>
          <w:lang w:eastAsia="en-GB"/>
        </w:rPr>
        <w:t xml:space="preserve">the new Downing Street health advisor, </w:t>
      </w:r>
      <w:r w:rsidR="00D6722A" w:rsidRPr="007F0EE5">
        <w:rPr>
          <w:rFonts w:eastAsia="Times New Roman" w:cs="Times New Roman"/>
          <w:sz w:val="22"/>
          <w:szCs w:val="22"/>
          <w:lang w:eastAsia="en-GB"/>
        </w:rPr>
        <w:t>Samantha Jones</w:t>
      </w:r>
      <w:r w:rsidR="00EB3E63" w:rsidRPr="007F0EE5">
        <w:rPr>
          <w:rFonts w:eastAsia="Times New Roman" w:cs="Times New Roman"/>
          <w:sz w:val="22"/>
          <w:szCs w:val="22"/>
          <w:lang w:eastAsia="en-GB"/>
        </w:rPr>
        <w:t xml:space="preserve">, comes straight from her role as </w:t>
      </w:r>
      <w:r w:rsidR="00575B78" w:rsidRPr="007F0EE5">
        <w:rPr>
          <w:rFonts w:eastAsia="Times New Roman" w:cs="Times New Roman"/>
          <w:sz w:val="22"/>
          <w:szCs w:val="22"/>
          <w:lang w:eastAsia="en-GB"/>
        </w:rPr>
        <w:t xml:space="preserve">CEO at </w:t>
      </w:r>
      <w:r w:rsidRPr="007F0EE5">
        <w:rPr>
          <w:rFonts w:eastAsia="Times New Roman" w:cs="Times New Roman"/>
          <w:sz w:val="22"/>
          <w:szCs w:val="22"/>
          <w:lang w:eastAsia="en-GB"/>
        </w:rPr>
        <w:t>Operose</w:t>
      </w:r>
      <w:r w:rsidR="00B4266F" w:rsidRPr="007F0EE5">
        <w:rPr>
          <w:rFonts w:eastAsia="Times New Roman" w:cs="Times New Roman"/>
          <w:sz w:val="22"/>
          <w:szCs w:val="22"/>
          <w:lang w:eastAsia="en-GB"/>
        </w:rPr>
        <w:t>, the UK arm of the US health insurance giant Centene</w:t>
      </w:r>
      <w:r w:rsidR="00ED1B9B">
        <w:rPr>
          <w:rFonts w:eastAsia="Times New Roman" w:cs="Times New Roman"/>
          <w:sz w:val="22"/>
          <w:szCs w:val="22"/>
          <w:lang w:eastAsia="en-GB"/>
        </w:rPr>
        <w:t>, which is</w:t>
      </w:r>
      <w:r w:rsidR="007F0EE5" w:rsidRPr="007F0EE5">
        <w:rPr>
          <w:rFonts w:eastAsia="Times New Roman" w:cs="Times New Roman"/>
          <w:sz w:val="22"/>
          <w:szCs w:val="22"/>
          <w:lang w:eastAsia="en-GB"/>
        </w:rPr>
        <w:t xml:space="preserve"> </w:t>
      </w:r>
      <w:r w:rsidR="00ED1B9B">
        <w:rPr>
          <w:rFonts w:eastAsia="Times New Roman" w:cs="Times New Roman"/>
          <w:sz w:val="22"/>
          <w:szCs w:val="22"/>
          <w:lang w:eastAsia="en-GB"/>
        </w:rPr>
        <w:t xml:space="preserve">gaining a significant presence in the NHS. </w:t>
      </w:r>
    </w:p>
    <w:p w14:paraId="2F739709" w14:textId="7B4595B5" w:rsidR="004042A0" w:rsidRPr="00DC1EE5" w:rsidRDefault="004042A0" w:rsidP="004042A0">
      <w:pPr>
        <w:shd w:val="clear" w:color="auto" w:fill="FFFFFF"/>
        <w:spacing w:before="100" w:beforeAutospacing="1" w:after="100" w:afterAutospacing="1"/>
        <w:rPr>
          <w:rFonts w:eastAsia="Times New Roman" w:cs="Times New Roman"/>
          <w:sz w:val="22"/>
          <w:szCs w:val="22"/>
          <w:lang w:eastAsia="en-GB"/>
        </w:rPr>
      </w:pPr>
      <w:r w:rsidRPr="00DC1EE5">
        <w:rPr>
          <w:rFonts w:eastAsia="Times New Roman" w:cs="Times New Roman"/>
          <w:sz w:val="22"/>
          <w:szCs w:val="22"/>
          <w:lang w:eastAsia="en-GB"/>
        </w:rPr>
        <w:t>There is evidence that increasing the extraction of personal data by public and the private sectors can lead to a wide range of negative consequences for individuals and societies, ranging from human rights infringements and extensive surveillance practices to interference with electoral and other democratic processes.</w:t>
      </w:r>
      <w:r w:rsidRPr="00DC1EE5">
        <w:rPr>
          <w:rStyle w:val="FootnoteReference"/>
          <w:rFonts w:eastAsia="Times New Roman" w:cs="Times New Roman"/>
          <w:sz w:val="22"/>
          <w:szCs w:val="22"/>
          <w:lang w:eastAsia="en-GB"/>
        </w:rPr>
        <w:footnoteReference w:id="5"/>
      </w:r>
      <w:r w:rsidRPr="00DC1EE5">
        <w:rPr>
          <w:rFonts w:eastAsia="Times New Roman" w:cs="Times New Roman"/>
          <w:sz w:val="22"/>
          <w:szCs w:val="22"/>
          <w:lang w:eastAsia="en-GB"/>
        </w:rPr>
        <w:t xml:space="preserve"> Health and health-related data represent an important aspect of these dynamics, with the health-care sector predicted to be the fastest-growing industry in terms of data produced</w:t>
      </w:r>
      <w:r w:rsidR="00396CE4">
        <w:rPr>
          <w:rFonts w:eastAsia="Times New Roman" w:cs="Times New Roman"/>
          <w:sz w:val="22"/>
          <w:szCs w:val="22"/>
          <w:lang w:eastAsia="en-GB"/>
        </w:rPr>
        <w:t>.</w:t>
      </w:r>
      <w:r w:rsidRPr="00DC1EE5">
        <w:rPr>
          <w:rFonts w:eastAsia="Times New Roman" w:cs="Times New Roman"/>
          <w:sz w:val="22"/>
          <w:szCs w:val="22"/>
          <w:vertAlign w:val="superscript"/>
          <w:lang w:eastAsia="en-GB"/>
        </w:rPr>
        <w:t>.</w:t>
      </w:r>
      <w:r w:rsidRPr="00DC1EE5">
        <w:rPr>
          <w:rStyle w:val="FootnoteReference"/>
          <w:rFonts w:eastAsia="Times New Roman" w:cs="Times New Roman"/>
          <w:sz w:val="22"/>
          <w:szCs w:val="22"/>
          <w:lang w:eastAsia="en-GB"/>
        </w:rPr>
        <w:footnoteReference w:id="6"/>
      </w:r>
    </w:p>
    <w:p w14:paraId="4C8C5F65" w14:textId="316C1A9A" w:rsidR="004042A0" w:rsidRPr="00DC1EE5" w:rsidRDefault="00B74CED" w:rsidP="004042A0">
      <w:pPr>
        <w:shd w:val="clear" w:color="auto" w:fill="FFFFFF"/>
        <w:spacing w:before="100" w:beforeAutospacing="1" w:after="100" w:afterAutospacing="1"/>
        <w:rPr>
          <w:rFonts w:eastAsia="Times New Roman" w:cs="Times New Roman"/>
          <w:sz w:val="22"/>
          <w:szCs w:val="22"/>
          <w:lang w:eastAsia="en-GB"/>
        </w:rPr>
      </w:pPr>
      <w:r w:rsidRPr="00DC1EE5">
        <w:rPr>
          <w:rFonts w:eastAsia="Times New Roman" w:cs="Times New Roman"/>
          <w:sz w:val="22"/>
          <w:szCs w:val="22"/>
          <w:lang w:eastAsia="en-GB"/>
        </w:rPr>
        <w:t>The uptake of digital technologies in health and health care relies heavily on trust from patients, doctors, and other health system professionals</w:t>
      </w:r>
      <w:r w:rsidR="002C7FAB" w:rsidRPr="00DC1EE5">
        <w:rPr>
          <w:rFonts w:eastAsia="Times New Roman" w:cs="Times New Roman"/>
          <w:sz w:val="22"/>
          <w:szCs w:val="22"/>
          <w:lang w:eastAsia="en-GB"/>
        </w:rPr>
        <w:t>.</w:t>
      </w:r>
      <w:r w:rsidRPr="00DC1EE5">
        <w:rPr>
          <w:rStyle w:val="FootnoteReference"/>
          <w:rFonts w:eastAsia="Times New Roman" w:cs="Times New Roman"/>
          <w:sz w:val="22"/>
          <w:szCs w:val="22"/>
          <w:lang w:eastAsia="en-GB"/>
        </w:rPr>
        <w:footnoteReference w:id="7"/>
      </w:r>
      <w:r>
        <w:rPr>
          <w:rFonts w:eastAsia="Times New Roman" w:cs="Times New Roman"/>
          <w:sz w:val="22"/>
          <w:szCs w:val="22"/>
          <w:vertAlign w:val="superscript"/>
          <w:lang w:eastAsia="en-GB"/>
        </w:rPr>
        <w:t xml:space="preserve"> </w:t>
      </w:r>
      <w:r w:rsidR="004042A0" w:rsidRPr="00DC1EE5">
        <w:rPr>
          <w:rFonts w:eastAsia="Times New Roman" w:cs="Times New Roman"/>
          <w:sz w:val="22"/>
          <w:szCs w:val="22"/>
          <w:lang w:eastAsia="en-GB"/>
        </w:rPr>
        <w:t xml:space="preserve">However, recent research suggests that such trust can be eroded by several personal, technological, and institutional factors, including fear of data exploitation, paucity of accessibility and </w:t>
      </w:r>
      <w:r w:rsidR="004042A0" w:rsidRPr="00DC1EE5">
        <w:rPr>
          <w:rFonts w:eastAsia="Times New Roman" w:cs="Times New Roman"/>
          <w:sz w:val="22"/>
          <w:szCs w:val="22"/>
          <w:lang w:eastAsia="en-GB"/>
        </w:rPr>
        <w:lastRenderedPageBreak/>
        <w:t>digital skills, and poor reputation of service providers.</w:t>
      </w:r>
      <w:r w:rsidR="004042A0" w:rsidRPr="00DC1EE5">
        <w:rPr>
          <w:rStyle w:val="FootnoteReference"/>
          <w:rFonts w:eastAsia="Times New Roman" w:cs="Times New Roman"/>
          <w:sz w:val="22"/>
          <w:szCs w:val="22"/>
          <w:lang w:eastAsia="en-GB"/>
        </w:rPr>
        <w:footnoteReference w:id="8"/>
      </w:r>
      <w:r w:rsidR="004042A0" w:rsidRPr="00DC1EE5">
        <w:rPr>
          <w:rFonts w:eastAsia="Times New Roman" w:cs="Times New Roman"/>
          <w:sz w:val="22"/>
          <w:szCs w:val="22"/>
          <w:vertAlign w:val="superscript"/>
          <w:lang w:eastAsia="en-GB"/>
        </w:rPr>
        <w:t>.</w:t>
      </w:r>
      <w:r>
        <w:rPr>
          <w:rFonts w:eastAsia="Times New Roman" w:cs="Times New Roman"/>
          <w:sz w:val="22"/>
          <w:szCs w:val="22"/>
          <w:lang w:eastAsia="en-GB"/>
        </w:rPr>
        <w:t xml:space="preserve"> </w:t>
      </w:r>
      <w:r w:rsidR="004042A0" w:rsidRPr="00DC1EE5">
        <w:rPr>
          <w:rFonts w:eastAsia="Times New Roman" w:cs="Times New Roman"/>
          <w:sz w:val="22"/>
          <w:szCs w:val="22"/>
          <w:lang w:eastAsia="en-GB"/>
        </w:rPr>
        <w:t>We believe that any resource that is required to ensure that the processing of personal health data is compliant with full data protection is time</w:t>
      </w:r>
      <w:r w:rsidR="00040C9D">
        <w:rPr>
          <w:rFonts w:eastAsia="Times New Roman" w:cs="Times New Roman"/>
          <w:sz w:val="22"/>
          <w:szCs w:val="22"/>
          <w:lang w:eastAsia="en-GB"/>
        </w:rPr>
        <w:t xml:space="preserve">, </w:t>
      </w:r>
      <w:r w:rsidR="004042A0" w:rsidRPr="00DC1EE5">
        <w:rPr>
          <w:rFonts w:eastAsia="Times New Roman" w:cs="Times New Roman"/>
          <w:sz w:val="22"/>
          <w:szCs w:val="22"/>
          <w:lang w:eastAsia="en-GB"/>
        </w:rPr>
        <w:t xml:space="preserve">effort </w:t>
      </w:r>
      <w:r w:rsidR="00040C9D">
        <w:rPr>
          <w:rFonts w:eastAsia="Times New Roman" w:cs="Times New Roman"/>
          <w:sz w:val="22"/>
          <w:szCs w:val="22"/>
          <w:lang w:eastAsia="en-GB"/>
        </w:rPr>
        <w:t>and money well</w:t>
      </w:r>
      <w:r w:rsidR="004042A0" w:rsidRPr="00DC1EE5">
        <w:rPr>
          <w:rFonts w:eastAsia="Times New Roman" w:cs="Times New Roman"/>
          <w:sz w:val="22"/>
          <w:szCs w:val="22"/>
          <w:lang w:eastAsia="en-GB"/>
        </w:rPr>
        <w:t xml:space="preserve"> spent. </w:t>
      </w:r>
    </w:p>
    <w:p w14:paraId="5EC51DCD" w14:textId="1DD88DE9" w:rsidR="004042A0" w:rsidRPr="00DC1EE5" w:rsidRDefault="002F0EB6" w:rsidP="004042A0">
      <w:pPr>
        <w:shd w:val="clear" w:color="auto" w:fill="FFFFFF"/>
        <w:spacing w:before="100" w:beforeAutospacing="1" w:after="100" w:afterAutospacing="1"/>
        <w:rPr>
          <w:rFonts w:eastAsia="Times New Roman" w:cs="Times New Roman"/>
          <w:sz w:val="22"/>
          <w:szCs w:val="22"/>
          <w:lang w:eastAsia="en-GB"/>
        </w:rPr>
      </w:pPr>
      <w:r w:rsidRPr="00DC1EE5">
        <w:rPr>
          <w:sz w:val="22"/>
          <w:szCs w:val="22"/>
        </w:rPr>
        <w:t xml:space="preserve">The consultation document claims that the experience of fighting Covid has shown the power of using personal data responsibly in the public interest and the benefit of collaboration between the public and private sectors. However, we suggest that there has not always been transparency about the motivation behind this ‘collaboration’. </w:t>
      </w:r>
      <w:r w:rsidR="004042A0" w:rsidRPr="00DC1EE5">
        <w:rPr>
          <w:rFonts w:eastAsia="Times New Roman" w:cs="Times New Roman"/>
          <w:sz w:val="22"/>
          <w:szCs w:val="22"/>
          <w:lang w:eastAsia="en-GB"/>
        </w:rPr>
        <w:t xml:space="preserve">It is not clear to us exactly what crucial/value for money roles the private sector have provided during the COVID-19 pandemic. </w:t>
      </w:r>
      <w:r w:rsidR="008C4190">
        <w:rPr>
          <w:rFonts w:eastAsia="Times New Roman" w:cs="Times New Roman"/>
          <w:sz w:val="22"/>
          <w:szCs w:val="22"/>
          <w:lang w:eastAsia="en-GB"/>
        </w:rPr>
        <w:t xml:space="preserve">In </w:t>
      </w:r>
      <w:r w:rsidR="004372C1">
        <w:rPr>
          <w:rFonts w:eastAsia="Times New Roman" w:cs="Times New Roman"/>
          <w:sz w:val="22"/>
          <w:szCs w:val="22"/>
          <w:lang w:eastAsia="en-GB"/>
        </w:rPr>
        <w:t>response to</w:t>
      </w:r>
      <w:r w:rsidR="008C4190">
        <w:rPr>
          <w:rFonts w:eastAsia="Times New Roman" w:cs="Times New Roman"/>
          <w:sz w:val="22"/>
          <w:szCs w:val="22"/>
          <w:lang w:eastAsia="en-GB"/>
        </w:rPr>
        <w:t xml:space="preserve"> the </w:t>
      </w:r>
      <w:r w:rsidR="004042A0" w:rsidRPr="00DC1EE5">
        <w:rPr>
          <w:rFonts w:eastAsia="Times New Roman" w:cs="Times New Roman"/>
          <w:sz w:val="22"/>
          <w:szCs w:val="22"/>
          <w:lang w:eastAsia="en-GB"/>
        </w:rPr>
        <w:t xml:space="preserve">statement ‘The UK’s experience of fighting the COVID-19 pandemic has demonstrated the power of using personal data responsibly in the public interest, and the benefits of collaboration between </w:t>
      </w:r>
      <w:r w:rsidR="008C4190">
        <w:rPr>
          <w:rFonts w:eastAsia="Times New Roman" w:cs="Times New Roman"/>
          <w:sz w:val="22"/>
          <w:szCs w:val="22"/>
          <w:lang w:eastAsia="en-GB"/>
        </w:rPr>
        <w:t xml:space="preserve">the public and private sectors’, </w:t>
      </w:r>
      <w:r w:rsidR="004042A0" w:rsidRPr="00DC1EE5">
        <w:rPr>
          <w:rFonts w:eastAsia="Times New Roman" w:cs="Times New Roman"/>
          <w:sz w:val="22"/>
          <w:szCs w:val="22"/>
          <w:lang w:eastAsia="en-GB"/>
        </w:rPr>
        <w:t xml:space="preserve">we argue that this is not true. The notion that  ‘There is an opportunity to build on this experience in order to deliver public services in more agile, innovative, effective and efficient ways’ we find a frightening thought. </w:t>
      </w:r>
    </w:p>
    <w:p w14:paraId="4B153BFB" w14:textId="55D731A0" w:rsidR="004042A0" w:rsidRPr="00DC1EE5" w:rsidRDefault="004042A0" w:rsidP="004042A0">
      <w:pPr>
        <w:spacing w:before="100" w:beforeAutospacing="1" w:after="100" w:afterAutospacing="1"/>
        <w:rPr>
          <w:rFonts w:eastAsia="Times New Roman" w:cs="Times New Roman"/>
          <w:sz w:val="22"/>
          <w:szCs w:val="22"/>
          <w:lang w:eastAsia="en-GB"/>
        </w:rPr>
      </w:pPr>
      <w:r w:rsidRPr="00DC1EE5">
        <w:rPr>
          <w:rFonts w:eastAsia="Times New Roman" w:cs="Times New Roman"/>
          <w:sz w:val="22"/>
          <w:szCs w:val="22"/>
          <w:lang w:eastAsia="en-GB"/>
        </w:rPr>
        <w:t>We would like to offer the following evidence from ‘openDemocracy’</w:t>
      </w:r>
      <w:r w:rsidR="002F0EB6" w:rsidRPr="00DC1EE5">
        <w:rPr>
          <w:rStyle w:val="FootnoteReference"/>
          <w:rFonts w:eastAsia="Times New Roman" w:cs="Times New Roman"/>
          <w:sz w:val="22"/>
          <w:szCs w:val="22"/>
          <w:lang w:eastAsia="en-GB"/>
        </w:rPr>
        <w:footnoteReference w:id="9"/>
      </w:r>
      <w:r w:rsidRPr="00DC1EE5">
        <w:rPr>
          <w:rFonts w:eastAsia="Times New Roman" w:cs="Times New Roman"/>
          <w:sz w:val="22"/>
          <w:szCs w:val="22"/>
          <w:lang w:eastAsia="en-GB"/>
        </w:rPr>
        <w:t xml:space="preserve"> research, the Public Accounts Committee and the Centre for Health and the Public Interest:</w:t>
      </w:r>
    </w:p>
    <w:p w14:paraId="08AAE55A" w14:textId="7AEE2C48" w:rsidR="004042A0" w:rsidRPr="00DC1EE5" w:rsidRDefault="004042A0" w:rsidP="004042A0">
      <w:pPr>
        <w:pStyle w:val="ListParagraph"/>
        <w:numPr>
          <w:ilvl w:val="0"/>
          <w:numId w:val="6"/>
        </w:numPr>
        <w:shd w:val="clear" w:color="auto" w:fill="FFFFFF"/>
        <w:spacing w:before="100" w:beforeAutospacing="1" w:after="100" w:afterAutospacing="1"/>
        <w:rPr>
          <w:rFonts w:eastAsia="Times New Roman" w:cs="Times New Roman"/>
          <w:sz w:val="22"/>
          <w:szCs w:val="22"/>
          <w:lang w:eastAsia="en-GB"/>
        </w:rPr>
      </w:pPr>
      <w:r w:rsidRPr="00DC1EE5">
        <w:rPr>
          <w:rFonts w:eastAsia="Times New Roman" w:cs="Times New Roman"/>
          <w:sz w:val="22"/>
          <w:szCs w:val="22"/>
          <w:lang w:eastAsia="en-GB"/>
        </w:rPr>
        <w:t>In March 2020, during the COVID-19 outbreak, the controversial technology company Palantir was contracted by the NHS to develop the NHS COVID-19 Data Store for £1. The contract was extended in June 2020 for 4 months for £1 million. The entire contract could have been worth up to £18 million a year over five years-totalling around £100 million. Google, Amazon, Microsoft and the AI firm Faculty all held contracts to work on the platform. A major concern was that the Government failed to publish the original contracts and only did so eventually in June</w:t>
      </w:r>
      <w:r w:rsidR="002F0EB6" w:rsidRPr="00DC1EE5">
        <w:rPr>
          <w:rFonts w:eastAsia="Times New Roman" w:cs="Times New Roman"/>
          <w:sz w:val="22"/>
          <w:szCs w:val="22"/>
          <w:lang w:eastAsia="en-GB"/>
        </w:rPr>
        <w:t>,</w:t>
      </w:r>
      <w:r w:rsidRPr="00DC1EE5">
        <w:rPr>
          <w:rFonts w:eastAsia="Times New Roman" w:cs="Times New Roman"/>
          <w:sz w:val="22"/>
          <w:szCs w:val="22"/>
          <w:lang w:eastAsia="en-GB"/>
        </w:rPr>
        <w:t xml:space="preserve"> just before legal proceedings brought by ‘openDemocracy’ were due to start. In addition there were concerns being raised about how the private technology firms were using NHS data. </w:t>
      </w:r>
    </w:p>
    <w:p w14:paraId="1F2D6705" w14:textId="77777777" w:rsidR="004042A0" w:rsidRPr="00DC1EE5" w:rsidRDefault="004042A0" w:rsidP="002F0EB6">
      <w:pPr>
        <w:spacing w:before="100" w:beforeAutospacing="1" w:after="100" w:afterAutospacing="1"/>
        <w:ind w:left="360"/>
        <w:rPr>
          <w:rFonts w:eastAsia="Times New Roman" w:cs="Times New Roman"/>
          <w:sz w:val="22"/>
          <w:szCs w:val="22"/>
          <w:lang w:eastAsia="en-GB"/>
        </w:rPr>
      </w:pPr>
      <w:r w:rsidRPr="00DC1EE5">
        <w:rPr>
          <w:rFonts w:eastAsia="Times New Roman" w:cs="Times New Roman"/>
          <w:sz w:val="22"/>
          <w:szCs w:val="22"/>
          <w:lang w:eastAsia="en-GB"/>
        </w:rPr>
        <w:t>Palantir has allegedly ‘built software accused of fuelling racist feedback loops in the hands of the LA police’, and has come under fire from its own staff over its role in the US Immigrations and Customs Enforcement (ICE) agency’s ‘brutal policy of family separations’.</w:t>
      </w:r>
    </w:p>
    <w:p w14:paraId="2BD5DC92" w14:textId="77777777" w:rsidR="004042A0" w:rsidRPr="00DC1EE5" w:rsidRDefault="004042A0" w:rsidP="002F0EB6">
      <w:pPr>
        <w:spacing w:before="100" w:beforeAutospacing="1" w:after="100" w:afterAutospacing="1"/>
        <w:ind w:left="360"/>
        <w:rPr>
          <w:rFonts w:eastAsia="Times New Roman" w:cs="Times New Roman"/>
          <w:sz w:val="22"/>
          <w:szCs w:val="22"/>
          <w:lang w:eastAsia="en-GB"/>
        </w:rPr>
      </w:pPr>
      <w:r w:rsidRPr="00DC1EE5">
        <w:rPr>
          <w:rFonts w:eastAsia="Times New Roman" w:cs="Times New Roman"/>
          <w:sz w:val="22"/>
          <w:szCs w:val="22"/>
          <w:lang w:eastAsia="en-GB"/>
        </w:rPr>
        <w:t>We agree with Mary Fitzgerald editor-in-chief of ‘openDemocracy’ that the lack of due process and the choice of Palantir ‘is no way to build trust or convince anyone that our government has the public interest at heart. It begs the question: what have they got to hide?  Why are they so afraid of public scrutiny or debate over this?’</w:t>
      </w:r>
    </w:p>
    <w:p w14:paraId="467B97E4" w14:textId="72692385" w:rsidR="004042A0" w:rsidRPr="00DC1EE5" w:rsidRDefault="004042A0" w:rsidP="002F0EB6">
      <w:pPr>
        <w:spacing w:before="100" w:beforeAutospacing="1" w:after="100" w:afterAutospacing="1"/>
        <w:ind w:left="360"/>
        <w:rPr>
          <w:rFonts w:eastAsia="Times New Roman" w:cs="Times New Roman"/>
          <w:sz w:val="22"/>
          <w:szCs w:val="22"/>
          <w:lang w:eastAsia="en-GB"/>
        </w:rPr>
      </w:pPr>
      <w:r w:rsidRPr="00DC1EE5">
        <w:rPr>
          <w:rFonts w:eastAsia="Times New Roman" w:cs="Times New Roman"/>
          <w:sz w:val="22"/>
          <w:szCs w:val="22"/>
          <w:lang w:eastAsia="en-GB"/>
        </w:rPr>
        <w:t>Also, we agree with Cori Crider</w:t>
      </w:r>
      <w:r w:rsidR="002F0EB6" w:rsidRPr="00DC1EE5">
        <w:rPr>
          <w:rFonts w:eastAsia="Times New Roman" w:cs="Times New Roman"/>
          <w:sz w:val="22"/>
          <w:szCs w:val="22"/>
          <w:lang w:eastAsia="en-GB"/>
        </w:rPr>
        <w:t>,</w:t>
      </w:r>
      <w:r w:rsidRPr="00DC1EE5">
        <w:rPr>
          <w:rFonts w:eastAsia="Times New Roman" w:cs="Times New Roman"/>
          <w:sz w:val="22"/>
          <w:szCs w:val="22"/>
          <w:lang w:eastAsia="en-GB"/>
        </w:rPr>
        <w:t xml:space="preserve"> director of Foxglove</w:t>
      </w:r>
      <w:r w:rsidR="002F0EB6" w:rsidRPr="00DC1EE5">
        <w:rPr>
          <w:rFonts w:eastAsia="Times New Roman" w:cs="Times New Roman"/>
          <w:sz w:val="22"/>
          <w:szCs w:val="22"/>
          <w:lang w:eastAsia="en-GB"/>
        </w:rPr>
        <w:t>,</w:t>
      </w:r>
      <w:r w:rsidRPr="00DC1EE5">
        <w:rPr>
          <w:rFonts w:eastAsia="Times New Roman" w:cs="Times New Roman"/>
          <w:sz w:val="22"/>
          <w:szCs w:val="22"/>
          <w:lang w:eastAsia="en-GB"/>
        </w:rPr>
        <w:t xml:space="preserve"> in being deeply troubled by the government’s lack of candour around these data deals. Despite promising a fair process that would let the public see what was at stake, the government pushed through another secret contract for two years. We too believe that the deals were no longer about the </w:t>
      </w:r>
      <w:r w:rsidR="002C7FAB" w:rsidRPr="00DC1EE5">
        <w:rPr>
          <w:rFonts w:eastAsia="Times New Roman" w:cs="Times New Roman"/>
          <w:sz w:val="22"/>
          <w:szCs w:val="22"/>
          <w:lang w:eastAsia="en-GB"/>
        </w:rPr>
        <w:t>pandemic;</w:t>
      </w:r>
      <w:r w:rsidRPr="00DC1EE5">
        <w:rPr>
          <w:rFonts w:eastAsia="Times New Roman" w:cs="Times New Roman"/>
          <w:sz w:val="22"/>
          <w:szCs w:val="22"/>
          <w:lang w:eastAsia="en-GB"/>
        </w:rPr>
        <w:t xml:space="preserve"> rather they were about the future of our NHS. Transparency is critical and people do not want the NHS and our health data privatised by stealth.</w:t>
      </w:r>
    </w:p>
    <w:p w14:paraId="0E7EF147" w14:textId="3D13320B" w:rsidR="004042A0" w:rsidRPr="00DC1EE5" w:rsidRDefault="004042A0" w:rsidP="002F0EB6">
      <w:pPr>
        <w:pStyle w:val="ListParagraph"/>
        <w:spacing w:before="100" w:beforeAutospacing="1" w:after="100" w:afterAutospacing="1"/>
        <w:ind w:left="360"/>
        <w:rPr>
          <w:rFonts w:eastAsia="Times New Roman" w:cs="Times New Roman"/>
          <w:sz w:val="22"/>
          <w:szCs w:val="22"/>
          <w:lang w:eastAsia="en-GB"/>
        </w:rPr>
      </w:pPr>
      <w:r w:rsidRPr="00DC1EE5">
        <w:rPr>
          <w:rFonts w:eastAsia="Times New Roman" w:cs="Times New Roman"/>
          <w:sz w:val="22"/>
          <w:szCs w:val="22"/>
          <w:lang w:eastAsia="en-GB"/>
        </w:rPr>
        <w:lastRenderedPageBreak/>
        <w:t>On 11</w:t>
      </w:r>
      <w:r w:rsidRPr="00DC1EE5">
        <w:rPr>
          <w:rFonts w:eastAsia="Times New Roman" w:cs="Times New Roman"/>
          <w:sz w:val="22"/>
          <w:szCs w:val="22"/>
          <w:vertAlign w:val="superscript"/>
          <w:lang w:eastAsia="en-GB"/>
        </w:rPr>
        <w:t>th</w:t>
      </w:r>
      <w:r w:rsidRPr="00DC1EE5">
        <w:rPr>
          <w:rFonts w:eastAsia="Times New Roman" w:cs="Times New Roman"/>
          <w:sz w:val="22"/>
          <w:szCs w:val="22"/>
          <w:lang w:eastAsia="en-GB"/>
        </w:rPr>
        <w:t xml:space="preserve"> September 2021</w:t>
      </w:r>
      <w:r w:rsidR="0079114C" w:rsidRPr="00DC1EE5">
        <w:rPr>
          <w:rFonts w:eastAsia="Times New Roman" w:cs="Times New Roman"/>
          <w:sz w:val="22"/>
          <w:szCs w:val="22"/>
          <w:lang w:eastAsia="en-GB"/>
        </w:rPr>
        <w:t>,</w:t>
      </w:r>
      <w:r w:rsidRPr="00DC1EE5">
        <w:rPr>
          <w:rFonts w:eastAsia="Times New Roman" w:cs="Times New Roman"/>
          <w:sz w:val="22"/>
          <w:szCs w:val="22"/>
          <w:lang w:eastAsia="en-GB"/>
        </w:rPr>
        <w:t xml:space="preserve"> ‘openDemocracy’ reported that government had terminated a data deal with Palantir and was ‘seeking to move away from reliance on third party data analytics platforms and software’, this by using a system built by the British defence contractor BAE Systems. We also note that BAE, through its subsidiary BAE systems Inc, sells more to the US Department of Defence than to the UK Ministry of Defence!</w:t>
      </w:r>
    </w:p>
    <w:p w14:paraId="542DD7A0" w14:textId="77777777" w:rsidR="002F0EB6" w:rsidRPr="00DC1EE5" w:rsidRDefault="002F0EB6" w:rsidP="002F0EB6">
      <w:pPr>
        <w:pStyle w:val="ListParagraph"/>
        <w:spacing w:before="100" w:beforeAutospacing="1" w:after="100" w:afterAutospacing="1"/>
        <w:ind w:left="360"/>
        <w:rPr>
          <w:rFonts w:eastAsia="Times New Roman" w:cs="Times New Roman"/>
          <w:sz w:val="22"/>
          <w:szCs w:val="22"/>
          <w:lang w:eastAsia="en-GB"/>
        </w:rPr>
      </w:pPr>
    </w:p>
    <w:p w14:paraId="2263D198" w14:textId="5ED17B47" w:rsidR="004042A0" w:rsidRDefault="002F0EB6" w:rsidP="00A13C61">
      <w:pPr>
        <w:pStyle w:val="ListParagraph"/>
        <w:numPr>
          <w:ilvl w:val="0"/>
          <w:numId w:val="6"/>
        </w:numPr>
        <w:rPr>
          <w:rFonts w:eastAsia="Times New Roman" w:cs="Times New Roman"/>
          <w:sz w:val="22"/>
          <w:szCs w:val="22"/>
          <w:shd w:val="clear" w:color="auto" w:fill="FFFFFF"/>
          <w:lang w:eastAsia="en-GB"/>
        </w:rPr>
      </w:pPr>
      <w:r w:rsidRPr="00DC1EE5">
        <w:rPr>
          <w:rFonts w:eastAsia="Times New Roman" w:cs="Times New Roman"/>
          <w:sz w:val="22"/>
          <w:szCs w:val="22"/>
          <w:shd w:val="clear" w:color="auto" w:fill="FFFFFF"/>
          <w:lang w:eastAsia="en-GB"/>
        </w:rPr>
        <w:t xml:space="preserve">Test and Trace (NHST&amp;T) </w:t>
      </w:r>
      <w:r w:rsidR="004042A0" w:rsidRPr="00DC1EE5">
        <w:rPr>
          <w:rFonts w:eastAsia="Times New Roman" w:cs="Times New Roman"/>
          <w:sz w:val="22"/>
          <w:szCs w:val="22"/>
          <w:shd w:val="clear" w:color="auto" w:fill="FFFFFF"/>
          <w:lang w:eastAsia="en-GB"/>
        </w:rPr>
        <w:t xml:space="preserve">was set up in May last year with all components – administering tests, processing samples in laboratories, and contact tracing –  contracted to private companies. </w:t>
      </w:r>
      <w:r w:rsidR="006C0752">
        <w:rPr>
          <w:rFonts w:eastAsia="Times New Roman" w:cs="Times New Roman"/>
          <w:sz w:val="22"/>
          <w:szCs w:val="22"/>
          <w:shd w:val="clear" w:color="auto" w:fill="FFFFFF"/>
          <w:lang w:eastAsia="en-GB"/>
        </w:rPr>
        <w:t xml:space="preserve">This despite </w:t>
      </w:r>
      <w:r w:rsidR="008C4190">
        <w:rPr>
          <w:rFonts w:eastAsia="Times New Roman" w:cs="Times New Roman"/>
          <w:sz w:val="22"/>
          <w:szCs w:val="22"/>
          <w:shd w:val="clear" w:color="auto" w:fill="FFFFFF"/>
          <w:lang w:eastAsia="en-GB"/>
        </w:rPr>
        <w:t xml:space="preserve">the existence of </w:t>
      </w:r>
      <w:r w:rsidR="006C0752">
        <w:rPr>
          <w:rFonts w:eastAsia="Times New Roman" w:cs="Times New Roman"/>
          <w:sz w:val="22"/>
          <w:szCs w:val="22"/>
          <w:shd w:val="clear" w:color="auto" w:fill="FFFFFF"/>
          <w:lang w:eastAsia="en-GB"/>
        </w:rPr>
        <w:t>established testing facilities</w:t>
      </w:r>
      <w:r w:rsidR="008C4190">
        <w:rPr>
          <w:rFonts w:eastAsia="Times New Roman" w:cs="Times New Roman"/>
          <w:sz w:val="22"/>
          <w:szCs w:val="22"/>
          <w:shd w:val="clear" w:color="auto" w:fill="FFFFFF"/>
          <w:lang w:eastAsia="en-GB"/>
        </w:rPr>
        <w:t xml:space="preserve"> </w:t>
      </w:r>
      <w:r w:rsidR="006C0752">
        <w:rPr>
          <w:rFonts w:eastAsia="Times New Roman" w:cs="Times New Roman"/>
          <w:sz w:val="22"/>
          <w:szCs w:val="22"/>
          <w:shd w:val="clear" w:color="auto" w:fill="FFFFFF"/>
          <w:lang w:eastAsia="en-GB"/>
        </w:rPr>
        <w:t xml:space="preserve">in established universities and hospitals. </w:t>
      </w:r>
      <w:r w:rsidR="004042A0" w:rsidRPr="00DC1EE5">
        <w:rPr>
          <w:rFonts w:eastAsia="Times New Roman" w:cs="Times New Roman"/>
          <w:sz w:val="22"/>
          <w:szCs w:val="22"/>
          <w:shd w:val="clear" w:color="auto" w:fill="FFFFFF"/>
          <w:lang w:eastAsia="en-GB"/>
        </w:rPr>
        <w:t>Multinational consultants Deloitte</w:t>
      </w:r>
      <w:r w:rsidR="008C4190">
        <w:rPr>
          <w:rFonts w:eastAsia="Times New Roman" w:cs="Times New Roman"/>
          <w:sz w:val="22"/>
          <w:szCs w:val="22"/>
          <w:shd w:val="clear" w:color="auto" w:fill="FFFFFF"/>
          <w:lang w:eastAsia="en-GB"/>
        </w:rPr>
        <w:t xml:space="preserve"> </w:t>
      </w:r>
      <w:r w:rsidR="004042A0" w:rsidRPr="00DC1EE5">
        <w:rPr>
          <w:rFonts w:eastAsia="Times New Roman" w:cs="Times New Roman"/>
          <w:sz w:val="22"/>
          <w:szCs w:val="22"/>
          <w:shd w:val="clear" w:color="auto" w:fill="FFFFFF"/>
          <w:lang w:eastAsia="en-GB"/>
        </w:rPr>
        <w:t>-</w:t>
      </w:r>
      <w:r w:rsidR="008C4190">
        <w:rPr>
          <w:rFonts w:eastAsia="Times New Roman" w:cs="Times New Roman"/>
          <w:sz w:val="22"/>
          <w:szCs w:val="22"/>
          <w:shd w:val="clear" w:color="auto" w:fill="FFFFFF"/>
          <w:lang w:eastAsia="en-GB"/>
        </w:rPr>
        <w:t xml:space="preserve"> </w:t>
      </w:r>
      <w:r w:rsidR="004042A0" w:rsidRPr="00DC1EE5">
        <w:rPr>
          <w:rFonts w:eastAsia="Times New Roman" w:cs="Times New Roman"/>
          <w:sz w:val="22"/>
          <w:szCs w:val="22"/>
          <w:shd w:val="clear" w:color="auto" w:fill="FFFFFF"/>
          <w:lang w:eastAsia="en-GB"/>
        </w:rPr>
        <w:t xml:space="preserve">who handle testing logistics including </w:t>
      </w:r>
      <w:r w:rsidR="008C4190">
        <w:rPr>
          <w:rFonts w:eastAsia="Times New Roman" w:cs="Times New Roman"/>
          <w:sz w:val="22"/>
          <w:szCs w:val="22"/>
          <w:shd w:val="clear" w:color="auto" w:fill="FFFFFF"/>
          <w:lang w:eastAsia="en-GB"/>
        </w:rPr>
        <w:t xml:space="preserve">the </w:t>
      </w:r>
      <w:r w:rsidR="004042A0" w:rsidRPr="00DC1EE5">
        <w:rPr>
          <w:rFonts w:eastAsia="Times New Roman" w:cs="Times New Roman"/>
          <w:sz w:val="22"/>
          <w:szCs w:val="22"/>
          <w:shd w:val="clear" w:color="auto" w:fill="FFFFFF"/>
          <w:lang w:eastAsia="en-GB"/>
        </w:rPr>
        <w:t>collection of statistics</w:t>
      </w:r>
      <w:r w:rsidR="00FD249D">
        <w:rPr>
          <w:rFonts w:eastAsia="Times New Roman" w:cs="Times New Roman"/>
          <w:sz w:val="22"/>
          <w:szCs w:val="22"/>
          <w:shd w:val="clear" w:color="auto" w:fill="FFFFFF"/>
          <w:lang w:eastAsia="en-GB"/>
        </w:rPr>
        <w:t xml:space="preserve"> </w:t>
      </w:r>
      <w:r w:rsidR="004042A0" w:rsidRPr="00DC1EE5">
        <w:rPr>
          <w:rFonts w:eastAsia="Times New Roman" w:cs="Times New Roman"/>
          <w:sz w:val="22"/>
          <w:szCs w:val="22"/>
          <w:shd w:val="clear" w:color="auto" w:fill="FFFFFF"/>
          <w:lang w:eastAsia="en-GB"/>
        </w:rPr>
        <w:t>- appointed outsourcing companies Serco, Mitie, G4S and Sodexo, together with the Boots pharmacy chain, to run drive-through or walk-in test centres.</w:t>
      </w:r>
      <w:r w:rsidR="00FD249D">
        <w:rPr>
          <w:rFonts w:eastAsia="Times New Roman" w:cs="Times New Roman"/>
          <w:sz w:val="22"/>
          <w:szCs w:val="22"/>
          <w:shd w:val="clear" w:color="auto" w:fill="FFFFFF"/>
          <w:lang w:eastAsia="en-GB"/>
        </w:rPr>
        <w:t xml:space="preserve"> Between April 2020 and November 2021, Test and Trace was allocated a budget of £19</w:t>
      </w:r>
      <w:r w:rsidR="004042A0" w:rsidRPr="00DC1EE5">
        <w:rPr>
          <w:rFonts w:eastAsia="Times New Roman" w:cs="Times New Roman"/>
          <w:sz w:val="22"/>
          <w:szCs w:val="22"/>
          <w:shd w:val="clear" w:color="auto" w:fill="FFFFFF"/>
          <w:lang w:eastAsia="en-GB"/>
        </w:rPr>
        <w:t>.</w:t>
      </w:r>
      <w:r w:rsidR="004042A0" w:rsidRPr="00DC1EE5">
        <w:rPr>
          <w:rFonts w:eastAsia="Times New Roman" w:cs="Times New Roman"/>
          <w:sz w:val="22"/>
          <w:szCs w:val="22"/>
          <w:lang w:eastAsia="en-GB"/>
        </w:rPr>
        <w:t xml:space="preserve"> </w:t>
      </w:r>
      <w:r w:rsidR="00FD249D">
        <w:rPr>
          <w:rFonts w:eastAsia="Times New Roman" w:cs="Times New Roman"/>
          <w:sz w:val="22"/>
          <w:szCs w:val="22"/>
          <w:lang w:eastAsia="en-GB"/>
        </w:rPr>
        <w:t>7 billion.</w:t>
      </w:r>
      <w:r w:rsidR="00FD249D">
        <w:rPr>
          <w:rStyle w:val="FootnoteReference"/>
          <w:rFonts w:eastAsia="Times New Roman" w:cs="Times New Roman"/>
          <w:sz w:val="22"/>
          <w:szCs w:val="22"/>
          <w:lang w:eastAsia="en-GB"/>
        </w:rPr>
        <w:footnoteReference w:id="10"/>
      </w:r>
      <w:r w:rsidR="00FD249D">
        <w:rPr>
          <w:rFonts w:eastAsia="Times New Roman" w:cs="Times New Roman"/>
          <w:sz w:val="22"/>
          <w:szCs w:val="22"/>
          <w:lang w:eastAsia="en-GB"/>
        </w:rPr>
        <w:t xml:space="preserve"> </w:t>
      </w:r>
      <w:r w:rsidR="004042A0" w:rsidRPr="00DC1EE5">
        <w:rPr>
          <w:rFonts w:eastAsia="Times New Roman" w:cs="Times New Roman"/>
          <w:sz w:val="22"/>
          <w:szCs w:val="22"/>
          <w:shd w:val="clear" w:color="auto" w:fill="FFFFFF"/>
          <w:lang w:eastAsia="en-GB"/>
        </w:rPr>
        <w:t>Yet despite ‘the unimaginable resources thrown at this project’ Test and Trace could not point to a measurable difference to the progress of the pandemic, and the promise on which this huge expense was justified - avoiding another lockdown – had been broken, twice.</w:t>
      </w:r>
      <w:r w:rsidR="00FD249D">
        <w:rPr>
          <w:rFonts w:eastAsia="Times New Roman" w:cs="Times New Roman"/>
          <w:sz w:val="22"/>
          <w:szCs w:val="22"/>
          <w:shd w:val="clear" w:color="auto" w:fill="FFFFFF"/>
          <w:lang w:eastAsia="en-GB"/>
        </w:rPr>
        <w:t xml:space="preserve"> Not only this, there have </w:t>
      </w:r>
      <w:r w:rsidR="00A13C61">
        <w:rPr>
          <w:rFonts w:eastAsia="Times New Roman" w:cs="Times New Roman"/>
          <w:sz w:val="22"/>
          <w:szCs w:val="22"/>
          <w:shd w:val="clear" w:color="auto" w:fill="FFFFFF"/>
          <w:lang w:eastAsia="en-GB"/>
        </w:rPr>
        <w:t xml:space="preserve">numerous examples of incompetence on the part of companies awarded Test and Trace contracts. For instance, the government is facing legal action over the contract awarded to </w:t>
      </w:r>
      <w:proofErr w:type="spellStart"/>
      <w:r w:rsidR="00A13C61">
        <w:rPr>
          <w:rFonts w:eastAsia="Times New Roman" w:cs="Times New Roman"/>
          <w:sz w:val="22"/>
          <w:szCs w:val="22"/>
          <w:shd w:val="clear" w:color="auto" w:fill="FFFFFF"/>
          <w:lang w:eastAsia="en-GB"/>
        </w:rPr>
        <w:t>Immensa</w:t>
      </w:r>
      <w:proofErr w:type="spellEnd"/>
      <w:r w:rsidR="00A13C61">
        <w:rPr>
          <w:rFonts w:eastAsia="Times New Roman" w:cs="Times New Roman"/>
          <w:sz w:val="22"/>
          <w:szCs w:val="22"/>
          <w:shd w:val="clear" w:color="auto" w:fill="FFFFFF"/>
          <w:lang w:eastAsia="en-GB"/>
        </w:rPr>
        <w:t>, a company without full UK accreditation, and resp</w:t>
      </w:r>
      <w:r w:rsidR="002C7FAB">
        <w:rPr>
          <w:rFonts w:eastAsia="Times New Roman" w:cs="Times New Roman"/>
          <w:sz w:val="22"/>
          <w:szCs w:val="22"/>
          <w:shd w:val="clear" w:color="auto" w:fill="FFFFFF"/>
          <w:lang w:eastAsia="en-GB"/>
        </w:rPr>
        <w:t>onsible for around 43,000</w:t>
      </w:r>
      <w:r w:rsidR="00A13C61">
        <w:rPr>
          <w:rFonts w:eastAsia="Times New Roman" w:cs="Times New Roman"/>
          <w:sz w:val="22"/>
          <w:szCs w:val="22"/>
          <w:shd w:val="clear" w:color="auto" w:fill="FFFFFF"/>
          <w:lang w:eastAsia="en-GB"/>
        </w:rPr>
        <w:t xml:space="preserve"> false negative Covid results over a two-month period.</w:t>
      </w:r>
      <w:r w:rsidR="006C0752">
        <w:rPr>
          <w:rStyle w:val="FootnoteReference"/>
          <w:rFonts w:eastAsia="Times New Roman" w:cs="Times New Roman"/>
          <w:sz w:val="22"/>
          <w:szCs w:val="22"/>
          <w:shd w:val="clear" w:color="auto" w:fill="FFFFFF"/>
          <w:lang w:eastAsia="en-GB"/>
        </w:rPr>
        <w:footnoteReference w:id="11"/>
      </w:r>
    </w:p>
    <w:p w14:paraId="22655944" w14:textId="77777777" w:rsidR="00A13C61" w:rsidRPr="00A13C61" w:rsidRDefault="00A13C61" w:rsidP="00A13C61">
      <w:pPr>
        <w:rPr>
          <w:rFonts w:eastAsia="Times New Roman" w:cs="Times New Roman"/>
          <w:sz w:val="22"/>
          <w:szCs w:val="22"/>
          <w:shd w:val="clear" w:color="auto" w:fill="FFFFFF"/>
          <w:lang w:eastAsia="en-GB"/>
        </w:rPr>
      </w:pPr>
    </w:p>
    <w:p w14:paraId="6A6C6A04" w14:textId="45BA8BB4" w:rsidR="004042A0" w:rsidRPr="00DC1EE5" w:rsidRDefault="004042A0" w:rsidP="004042A0">
      <w:pPr>
        <w:pStyle w:val="ListParagraph"/>
        <w:numPr>
          <w:ilvl w:val="0"/>
          <w:numId w:val="6"/>
        </w:numPr>
        <w:rPr>
          <w:rFonts w:eastAsia="Times New Roman" w:cs="Times New Roman"/>
          <w:sz w:val="22"/>
          <w:szCs w:val="22"/>
          <w:lang w:eastAsia="en-GB"/>
        </w:rPr>
      </w:pPr>
      <w:r w:rsidRPr="00DC1EE5">
        <w:rPr>
          <w:rFonts w:eastAsia="Times New Roman" w:cs="Times New Roman"/>
          <w:sz w:val="22"/>
          <w:szCs w:val="22"/>
          <w:lang w:eastAsia="en-GB"/>
        </w:rPr>
        <w:t>The Centre for Health and the Public Interest</w:t>
      </w:r>
      <w:r w:rsidR="0079114C" w:rsidRPr="00DC1EE5">
        <w:rPr>
          <w:rStyle w:val="FootnoteReference"/>
          <w:rFonts w:eastAsia="Times New Roman" w:cs="Times New Roman"/>
          <w:sz w:val="22"/>
          <w:szCs w:val="22"/>
          <w:lang w:eastAsia="en-GB"/>
        </w:rPr>
        <w:footnoteReference w:id="12"/>
      </w:r>
      <w:r w:rsidRPr="00DC1EE5">
        <w:rPr>
          <w:rFonts w:eastAsia="Times New Roman" w:cs="Times New Roman"/>
          <w:sz w:val="22"/>
          <w:szCs w:val="22"/>
          <w:lang w:eastAsia="en-GB"/>
        </w:rPr>
        <w:t xml:space="preserve"> reported on 1</w:t>
      </w:r>
      <w:r w:rsidRPr="00DC1EE5">
        <w:rPr>
          <w:rFonts w:eastAsia="Times New Roman" w:cs="Times New Roman"/>
          <w:sz w:val="22"/>
          <w:szCs w:val="22"/>
          <w:vertAlign w:val="superscript"/>
          <w:lang w:eastAsia="en-GB"/>
        </w:rPr>
        <w:t>st</w:t>
      </w:r>
      <w:r w:rsidRPr="00DC1EE5">
        <w:rPr>
          <w:rFonts w:eastAsia="Times New Roman" w:cs="Times New Roman"/>
          <w:sz w:val="22"/>
          <w:szCs w:val="22"/>
          <w:lang w:eastAsia="en-GB"/>
        </w:rPr>
        <w:t xml:space="preserve"> June 2021 that over the past year multi-billion pound contracts had been struck with the private hospital sector to provide services to NHS patients with the expressed intent of helping the NHS with </w:t>
      </w:r>
      <w:r w:rsidRPr="00DC1EE5">
        <w:rPr>
          <w:rFonts w:cs="Times New Roman"/>
          <w:sz w:val="22"/>
          <w:szCs w:val="22"/>
        </w:rPr>
        <w:t>extra capacity</w:t>
      </w:r>
      <w:r w:rsidRPr="00DC1EE5">
        <w:rPr>
          <w:rFonts w:eastAsia="Times New Roman" w:cs="Times New Roman"/>
          <w:sz w:val="22"/>
          <w:szCs w:val="22"/>
          <w:lang w:eastAsia="en-GB"/>
        </w:rPr>
        <w:t> to clear the huge post-COVID backlog of patients waiting for treatment. But this language – which has been repeated across the media – concealed a crucial fact: the private hospitals could only do this work by using NHS consultants, as they had none of their own doctors. This falsity of the ‘helping the NHS’ narrative was only too clear from last year’s </w:t>
      </w:r>
      <w:r w:rsidRPr="00DC1EE5">
        <w:rPr>
          <w:rFonts w:cs="Times New Roman"/>
          <w:sz w:val="22"/>
          <w:szCs w:val="22"/>
        </w:rPr>
        <w:t>deal with the private sector</w:t>
      </w:r>
      <w:r w:rsidRPr="00DC1EE5">
        <w:rPr>
          <w:sz w:val="22"/>
          <w:szCs w:val="22"/>
        </w:rPr>
        <w:t xml:space="preserve"> </w:t>
      </w:r>
      <w:r w:rsidRPr="00DC1EE5">
        <w:rPr>
          <w:rFonts w:eastAsia="Times New Roman" w:cs="Times New Roman"/>
          <w:sz w:val="22"/>
          <w:szCs w:val="22"/>
          <w:lang w:eastAsia="en-GB"/>
        </w:rPr>
        <w:t>with the NHS paying £400m a month for the private sector’s entire capacity, covering not only its running costs, but also all the interest payments on its debt, saving some companies from a serious risk of failure after COVID wiped out demand from private patients. But two-thirds of the private hospital’s capacity remained unused – a key reason being that many consultants, like other NHS staff, were redeployed to cope with COVID patients, and so were not available to work in the private hospitals. It is extremely difficult to see the benefit the public gained in this ‘collaboration’.</w:t>
      </w:r>
    </w:p>
    <w:p w14:paraId="5C2C0553" w14:textId="77777777" w:rsidR="004042A0" w:rsidRPr="00DC1EE5" w:rsidRDefault="004042A0" w:rsidP="004042A0">
      <w:pPr>
        <w:rPr>
          <w:rFonts w:eastAsia="Times New Roman" w:cs="Times New Roman"/>
          <w:sz w:val="22"/>
          <w:szCs w:val="22"/>
          <w:lang w:eastAsia="en-GB"/>
        </w:rPr>
      </w:pPr>
    </w:p>
    <w:p w14:paraId="01F79ED1" w14:textId="77777777" w:rsidR="00FF50D6" w:rsidRPr="00DC1EE5" w:rsidRDefault="00FF50D6" w:rsidP="00FF50D6">
      <w:pPr>
        <w:rPr>
          <w:sz w:val="22"/>
          <w:szCs w:val="22"/>
        </w:rPr>
      </w:pPr>
    </w:p>
    <w:p w14:paraId="1BC070B4" w14:textId="59C114F0" w:rsidR="005F31C6" w:rsidRPr="000C603B" w:rsidRDefault="00C13523">
      <w:pPr>
        <w:rPr>
          <w:b/>
          <w:bCs/>
          <w:iCs/>
          <w:sz w:val="22"/>
          <w:szCs w:val="22"/>
        </w:rPr>
      </w:pPr>
      <w:r w:rsidRPr="000C603B">
        <w:rPr>
          <w:b/>
          <w:bCs/>
          <w:iCs/>
          <w:sz w:val="22"/>
          <w:szCs w:val="22"/>
        </w:rPr>
        <w:t>Q 4.3.1 To what extent do you agree with the following statement: “Private companies, organisations and individuals who have been asked to process personal data on behalf of a public body should be permitted to rely on that body’s lawful ground for processing the data under Article 6 (1) (e) of the UK GDPR?</w:t>
      </w:r>
    </w:p>
    <w:p w14:paraId="58CE681D" w14:textId="77777777" w:rsidR="00C13523" w:rsidRPr="00DC1EE5" w:rsidRDefault="00C13523">
      <w:pPr>
        <w:rPr>
          <w:sz w:val="22"/>
          <w:szCs w:val="22"/>
        </w:rPr>
      </w:pPr>
    </w:p>
    <w:p w14:paraId="4C3DC3A9" w14:textId="22779E3D" w:rsidR="00C13523" w:rsidRPr="000B7305" w:rsidRDefault="00C13523">
      <w:pPr>
        <w:rPr>
          <w:b/>
          <w:i/>
          <w:iCs/>
          <w:sz w:val="22"/>
          <w:szCs w:val="22"/>
        </w:rPr>
      </w:pPr>
      <w:r w:rsidRPr="000B7305">
        <w:rPr>
          <w:b/>
          <w:i/>
          <w:iCs/>
          <w:sz w:val="22"/>
          <w:szCs w:val="22"/>
        </w:rPr>
        <w:t>Strongly disagree</w:t>
      </w:r>
    </w:p>
    <w:p w14:paraId="61FE61C0" w14:textId="77777777" w:rsidR="00C13523" w:rsidRPr="00DC1EE5" w:rsidRDefault="00C13523">
      <w:pPr>
        <w:rPr>
          <w:sz w:val="22"/>
          <w:szCs w:val="22"/>
        </w:rPr>
      </w:pPr>
    </w:p>
    <w:p w14:paraId="40B06BED" w14:textId="3BBE81F8" w:rsidR="00461F15" w:rsidRPr="00DC1EE5" w:rsidRDefault="005519F5">
      <w:pPr>
        <w:rPr>
          <w:sz w:val="22"/>
          <w:szCs w:val="22"/>
        </w:rPr>
      </w:pPr>
      <w:r w:rsidRPr="00DC1EE5">
        <w:rPr>
          <w:sz w:val="22"/>
          <w:szCs w:val="22"/>
        </w:rPr>
        <w:t>Chapter One of t</w:t>
      </w:r>
      <w:r w:rsidR="005F31C6" w:rsidRPr="00DC1EE5">
        <w:rPr>
          <w:sz w:val="22"/>
          <w:szCs w:val="22"/>
        </w:rPr>
        <w:t xml:space="preserve">he consultation document indicates that work is </w:t>
      </w:r>
      <w:r w:rsidRPr="00DC1EE5">
        <w:rPr>
          <w:sz w:val="22"/>
          <w:szCs w:val="22"/>
        </w:rPr>
        <w:t xml:space="preserve">already </w:t>
      </w:r>
      <w:r w:rsidR="005F31C6" w:rsidRPr="00DC1EE5">
        <w:rPr>
          <w:sz w:val="22"/>
          <w:szCs w:val="22"/>
        </w:rPr>
        <w:t>underway by the Cabinet Office to address barriers to data sharing and explore how to extend the public service delivery pow</w:t>
      </w:r>
      <w:r w:rsidR="00461F15" w:rsidRPr="00DC1EE5">
        <w:rPr>
          <w:sz w:val="22"/>
          <w:szCs w:val="22"/>
        </w:rPr>
        <w:t xml:space="preserve">ers under Section 35 of the Digital Economy Act 2017 to the business sector. </w:t>
      </w:r>
      <w:r w:rsidR="00913FDE" w:rsidRPr="00DC1EE5">
        <w:rPr>
          <w:sz w:val="22"/>
          <w:szCs w:val="22"/>
        </w:rPr>
        <w:t xml:space="preserve"> </w:t>
      </w:r>
      <w:r w:rsidRPr="00DC1EE5">
        <w:rPr>
          <w:sz w:val="22"/>
          <w:szCs w:val="22"/>
        </w:rPr>
        <w:t>However, n</w:t>
      </w:r>
      <w:r w:rsidR="00350366" w:rsidRPr="00DC1EE5">
        <w:rPr>
          <w:sz w:val="22"/>
          <w:szCs w:val="22"/>
        </w:rPr>
        <w:t xml:space="preserve">either the barriers, nor the type of powers </w:t>
      </w:r>
      <w:r w:rsidR="007464EA" w:rsidRPr="00DC1EE5">
        <w:rPr>
          <w:sz w:val="22"/>
          <w:szCs w:val="22"/>
        </w:rPr>
        <w:t>tha</w:t>
      </w:r>
      <w:r w:rsidR="00350366" w:rsidRPr="00DC1EE5">
        <w:rPr>
          <w:sz w:val="22"/>
          <w:szCs w:val="22"/>
        </w:rPr>
        <w:t>t</w:t>
      </w:r>
      <w:r w:rsidR="007464EA" w:rsidRPr="00DC1EE5">
        <w:rPr>
          <w:sz w:val="22"/>
          <w:szCs w:val="22"/>
        </w:rPr>
        <w:t xml:space="preserve"> </w:t>
      </w:r>
      <w:r w:rsidRPr="00DC1EE5">
        <w:rPr>
          <w:sz w:val="22"/>
          <w:szCs w:val="22"/>
        </w:rPr>
        <w:t xml:space="preserve">might </w:t>
      </w:r>
      <w:r w:rsidR="00350366" w:rsidRPr="00DC1EE5">
        <w:rPr>
          <w:sz w:val="22"/>
          <w:szCs w:val="22"/>
        </w:rPr>
        <w:t>be ext</w:t>
      </w:r>
      <w:r w:rsidR="009D58EF" w:rsidRPr="00DC1EE5">
        <w:rPr>
          <w:sz w:val="22"/>
          <w:szCs w:val="22"/>
        </w:rPr>
        <w:t>ended to the business sector, are</w:t>
      </w:r>
      <w:r w:rsidR="00350366" w:rsidRPr="00DC1EE5">
        <w:rPr>
          <w:sz w:val="22"/>
          <w:szCs w:val="22"/>
        </w:rPr>
        <w:t xml:space="preserve"> explained. </w:t>
      </w:r>
      <w:r w:rsidR="009D58EF" w:rsidRPr="00DC1EE5">
        <w:rPr>
          <w:sz w:val="22"/>
          <w:szCs w:val="22"/>
        </w:rPr>
        <w:t xml:space="preserve">Notably, </w:t>
      </w:r>
      <w:r w:rsidR="00461F15" w:rsidRPr="00DC1EE5">
        <w:rPr>
          <w:sz w:val="22"/>
          <w:szCs w:val="22"/>
        </w:rPr>
        <w:t xml:space="preserve">Section 35 </w:t>
      </w:r>
      <w:r w:rsidR="00913FDE" w:rsidRPr="00DC1EE5">
        <w:rPr>
          <w:sz w:val="22"/>
          <w:szCs w:val="22"/>
        </w:rPr>
        <w:t xml:space="preserve">already </w:t>
      </w:r>
      <w:r w:rsidR="00461F15" w:rsidRPr="00DC1EE5">
        <w:rPr>
          <w:sz w:val="22"/>
          <w:szCs w:val="22"/>
        </w:rPr>
        <w:t xml:space="preserve">allows for information sharing between public authorities (or </w:t>
      </w:r>
      <w:r w:rsidR="00171AB4" w:rsidRPr="00DC1EE5">
        <w:rPr>
          <w:sz w:val="22"/>
          <w:szCs w:val="22"/>
        </w:rPr>
        <w:t xml:space="preserve">specified </w:t>
      </w:r>
      <w:r w:rsidR="00461F15" w:rsidRPr="00DC1EE5">
        <w:rPr>
          <w:sz w:val="22"/>
          <w:szCs w:val="22"/>
        </w:rPr>
        <w:t xml:space="preserve">persons providing services to public authorities) for </w:t>
      </w:r>
      <w:r w:rsidRPr="00DC1EE5">
        <w:rPr>
          <w:sz w:val="22"/>
          <w:szCs w:val="22"/>
        </w:rPr>
        <w:t xml:space="preserve">specified </w:t>
      </w:r>
      <w:r w:rsidR="00461F15" w:rsidRPr="00DC1EE5">
        <w:rPr>
          <w:sz w:val="22"/>
          <w:szCs w:val="22"/>
        </w:rPr>
        <w:t>public service delivery objectives</w:t>
      </w:r>
      <w:r w:rsidR="009D58EF" w:rsidRPr="00DC1EE5">
        <w:rPr>
          <w:sz w:val="22"/>
          <w:szCs w:val="22"/>
        </w:rPr>
        <w:t>,</w:t>
      </w:r>
      <w:r w:rsidR="00461F15" w:rsidRPr="00DC1EE5">
        <w:rPr>
          <w:sz w:val="22"/>
          <w:szCs w:val="22"/>
        </w:rPr>
        <w:t xml:space="preserve"> </w:t>
      </w:r>
      <w:r w:rsidR="00350366" w:rsidRPr="00DC1EE5">
        <w:rPr>
          <w:sz w:val="22"/>
          <w:szCs w:val="22"/>
        </w:rPr>
        <w:t>and additional objectives can be set by regulations</w:t>
      </w:r>
      <w:r w:rsidR="009D58EF" w:rsidRPr="00DC1EE5">
        <w:rPr>
          <w:sz w:val="22"/>
          <w:szCs w:val="22"/>
        </w:rPr>
        <w:t xml:space="preserve">. </w:t>
      </w:r>
      <w:r w:rsidR="00171AB4" w:rsidRPr="00DC1EE5">
        <w:rPr>
          <w:sz w:val="22"/>
          <w:szCs w:val="22"/>
        </w:rPr>
        <w:t>This could relate to a frontline service outsourced to a body outside the public sector but</w:t>
      </w:r>
      <w:r w:rsidR="008674C7">
        <w:rPr>
          <w:sz w:val="22"/>
          <w:szCs w:val="22"/>
        </w:rPr>
        <w:t>,</w:t>
      </w:r>
      <w:r w:rsidR="00171AB4" w:rsidRPr="00DC1EE5">
        <w:rPr>
          <w:sz w:val="22"/>
          <w:szCs w:val="22"/>
        </w:rPr>
        <w:t xml:space="preserve"> in addition to conditions set out in the Digital Economy Act 2017, also involves consideration of whether such sharing of information is necessary to achieve the desired objective. In other words</w:t>
      </w:r>
      <w:r w:rsidR="00350366" w:rsidRPr="00DC1EE5">
        <w:rPr>
          <w:sz w:val="22"/>
          <w:szCs w:val="22"/>
        </w:rPr>
        <w:t>, it seems that the legal basis</w:t>
      </w:r>
      <w:r w:rsidR="00171AB4" w:rsidRPr="00DC1EE5">
        <w:rPr>
          <w:sz w:val="22"/>
          <w:szCs w:val="22"/>
        </w:rPr>
        <w:t xml:space="preserve"> for sharing government-held data with the private sector </w:t>
      </w:r>
      <w:r w:rsidR="00350366" w:rsidRPr="00DC1EE5">
        <w:rPr>
          <w:sz w:val="22"/>
          <w:szCs w:val="22"/>
        </w:rPr>
        <w:t xml:space="preserve">already exists </w:t>
      </w:r>
      <w:r w:rsidR="009D58EF" w:rsidRPr="00DC1EE5">
        <w:rPr>
          <w:sz w:val="22"/>
          <w:szCs w:val="22"/>
        </w:rPr>
        <w:t xml:space="preserve">and the types of service delivery objectives can be extended </w:t>
      </w:r>
      <w:r w:rsidR="00171AB4" w:rsidRPr="00DC1EE5">
        <w:rPr>
          <w:sz w:val="22"/>
          <w:szCs w:val="22"/>
        </w:rPr>
        <w:t xml:space="preserve">when </w:t>
      </w:r>
      <w:r w:rsidR="00350366" w:rsidRPr="00DC1EE5">
        <w:rPr>
          <w:sz w:val="22"/>
          <w:szCs w:val="22"/>
        </w:rPr>
        <w:t xml:space="preserve">this is </w:t>
      </w:r>
      <w:r w:rsidR="00171AB4" w:rsidRPr="00DC1EE5">
        <w:rPr>
          <w:i/>
          <w:sz w:val="22"/>
          <w:szCs w:val="22"/>
        </w:rPr>
        <w:t>in the service of a public authority</w:t>
      </w:r>
      <w:r w:rsidR="00350366" w:rsidRPr="00DC1EE5">
        <w:rPr>
          <w:sz w:val="22"/>
          <w:szCs w:val="22"/>
        </w:rPr>
        <w:t xml:space="preserve">. Does the government wish to allow data to be shared with the business sector when this is </w:t>
      </w:r>
      <w:r w:rsidR="00350366" w:rsidRPr="00DC1EE5">
        <w:rPr>
          <w:i/>
          <w:sz w:val="22"/>
          <w:szCs w:val="22"/>
        </w:rPr>
        <w:t>not</w:t>
      </w:r>
      <w:r w:rsidR="00350366" w:rsidRPr="00DC1EE5">
        <w:rPr>
          <w:sz w:val="22"/>
          <w:szCs w:val="22"/>
        </w:rPr>
        <w:t xml:space="preserve"> in the service of a public authority? </w:t>
      </w:r>
    </w:p>
    <w:p w14:paraId="4B294853" w14:textId="77777777" w:rsidR="00350366" w:rsidRPr="00DC1EE5" w:rsidRDefault="00350366">
      <w:pPr>
        <w:rPr>
          <w:sz w:val="22"/>
          <w:szCs w:val="22"/>
        </w:rPr>
      </w:pPr>
    </w:p>
    <w:p w14:paraId="74CA0930" w14:textId="4A74DC25" w:rsidR="00547DB1" w:rsidRPr="00DC1EE5" w:rsidRDefault="009D58EF" w:rsidP="00DD4105">
      <w:pPr>
        <w:rPr>
          <w:sz w:val="22"/>
          <w:szCs w:val="22"/>
        </w:rPr>
      </w:pPr>
      <w:r w:rsidRPr="00DC1EE5">
        <w:rPr>
          <w:sz w:val="22"/>
          <w:szCs w:val="22"/>
        </w:rPr>
        <w:t xml:space="preserve">The </w:t>
      </w:r>
      <w:r w:rsidR="00350366" w:rsidRPr="00DC1EE5">
        <w:rPr>
          <w:sz w:val="22"/>
          <w:szCs w:val="22"/>
        </w:rPr>
        <w:t xml:space="preserve">consultation document </w:t>
      </w:r>
      <w:r w:rsidR="008F65E2" w:rsidRPr="00DC1EE5">
        <w:rPr>
          <w:sz w:val="22"/>
          <w:szCs w:val="22"/>
        </w:rPr>
        <w:t xml:space="preserve">suggests that there is a lack of clarity about the </w:t>
      </w:r>
      <w:r w:rsidR="00547DB1" w:rsidRPr="00DC1EE5">
        <w:rPr>
          <w:sz w:val="22"/>
          <w:szCs w:val="22"/>
        </w:rPr>
        <w:t xml:space="preserve">legal ground </w:t>
      </w:r>
      <w:r w:rsidR="008F65E2" w:rsidRPr="00DC1EE5">
        <w:rPr>
          <w:sz w:val="22"/>
          <w:szCs w:val="22"/>
        </w:rPr>
        <w:t xml:space="preserve">that private companies can rely on for processing personal data when this is at the request of public authorities. It cites, for example, the dilemma of data controllers who have to assess if the controllers’ interests outweigh the data protection rights of individuals, when wider public benefits are being sought. </w:t>
      </w:r>
      <w:r w:rsidR="001437C6" w:rsidRPr="00DC1EE5">
        <w:rPr>
          <w:sz w:val="22"/>
          <w:szCs w:val="22"/>
        </w:rPr>
        <w:t>The consultation document therefore proposes that companies and others processing personal data on behalf of a public body can rely on Article 6 (1) (e</w:t>
      </w:r>
      <w:r w:rsidR="00A4030F">
        <w:rPr>
          <w:sz w:val="22"/>
          <w:szCs w:val="22"/>
        </w:rPr>
        <w:t>)</w:t>
      </w:r>
      <w:r w:rsidR="00264FA3" w:rsidRPr="00DC1EE5">
        <w:rPr>
          <w:sz w:val="22"/>
          <w:szCs w:val="22"/>
        </w:rPr>
        <w:t xml:space="preserve"> </w:t>
      </w:r>
      <w:r w:rsidR="001437C6" w:rsidRPr="00DC1EE5">
        <w:rPr>
          <w:sz w:val="22"/>
          <w:szCs w:val="22"/>
        </w:rPr>
        <w:t xml:space="preserve">as the lawful ground for such processing, and other lawful grounds need not be identified. </w:t>
      </w:r>
    </w:p>
    <w:p w14:paraId="09C88135" w14:textId="05CF6170" w:rsidR="00D11D2B" w:rsidRPr="00DC1EE5" w:rsidRDefault="001437C6" w:rsidP="00DD4105">
      <w:pPr>
        <w:rPr>
          <w:sz w:val="22"/>
          <w:szCs w:val="22"/>
        </w:rPr>
      </w:pPr>
      <w:r w:rsidRPr="00DC1EE5">
        <w:rPr>
          <w:sz w:val="22"/>
          <w:szCs w:val="22"/>
        </w:rPr>
        <w:t>Our concerns include</w:t>
      </w:r>
      <w:r w:rsidR="00502A69" w:rsidRPr="00DC1EE5">
        <w:rPr>
          <w:sz w:val="22"/>
          <w:szCs w:val="22"/>
        </w:rPr>
        <w:t xml:space="preserve"> </w:t>
      </w:r>
    </w:p>
    <w:p w14:paraId="6C1174B1" w14:textId="77777777" w:rsidR="00D11D2B" w:rsidRPr="00DC1EE5" w:rsidRDefault="00D11D2B" w:rsidP="00DD4105">
      <w:pPr>
        <w:rPr>
          <w:sz w:val="22"/>
          <w:szCs w:val="22"/>
        </w:rPr>
      </w:pPr>
    </w:p>
    <w:p w14:paraId="74B68B1B" w14:textId="0F960583" w:rsidR="00D11D2B" w:rsidRPr="00DC1EE5" w:rsidRDefault="00D11D2B" w:rsidP="00D11D2B">
      <w:pPr>
        <w:pStyle w:val="ListParagraph"/>
        <w:numPr>
          <w:ilvl w:val="0"/>
          <w:numId w:val="1"/>
        </w:numPr>
        <w:rPr>
          <w:sz w:val="22"/>
          <w:szCs w:val="22"/>
        </w:rPr>
      </w:pPr>
      <w:r w:rsidRPr="00DC1EE5">
        <w:rPr>
          <w:sz w:val="22"/>
          <w:szCs w:val="22"/>
        </w:rPr>
        <w:t xml:space="preserve">the consultation document itself makes it clear that private companies have generally been able to identify an appropriate legal ground for processing personal data when requested to help deliver public tasks, </w:t>
      </w:r>
      <w:r w:rsidR="00547DB1" w:rsidRPr="00DC1EE5">
        <w:rPr>
          <w:sz w:val="22"/>
          <w:szCs w:val="22"/>
        </w:rPr>
        <w:t xml:space="preserve">raising questions about the </w:t>
      </w:r>
      <w:r w:rsidRPr="00DC1EE5">
        <w:rPr>
          <w:sz w:val="22"/>
          <w:szCs w:val="22"/>
        </w:rPr>
        <w:t xml:space="preserve">rationale for </w:t>
      </w:r>
      <w:r w:rsidR="00547DB1" w:rsidRPr="00DC1EE5">
        <w:rPr>
          <w:sz w:val="22"/>
          <w:szCs w:val="22"/>
        </w:rPr>
        <w:t>encouraging reliance</w:t>
      </w:r>
      <w:r w:rsidR="0013514A" w:rsidRPr="00DC1EE5">
        <w:rPr>
          <w:sz w:val="22"/>
          <w:szCs w:val="22"/>
        </w:rPr>
        <w:t xml:space="preserve"> on Article 6 (1) (</w:t>
      </w:r>
      <w:r w:rsidR="00547DB1" w:rsidRPr="00DC1EE5">
        <w:rPr>
          <w:sz w:val="22"/>
          <w:szCs w:val="22"/>
        </w:rPr>
        <w:t>e).</w:t>
      </w:r>
    </w:p>
    <w:p w14:paraId="1A037EBA" w14:textId="5313B90A" w:rsidR="00D11D2B" w:rsidRPr="00DC1EE5" w:rsidRDefault="00D07D9B" w:rsidP="0013514A">
      <w:pPr>
        <w:pStyle w:val="ListParagraph"/>
        <w:numPr>
          <w:ilvl w:val="0"/>
          <w:numId w:val="1"/>
        </w:numPr>
        <w:rPr>
          <w:rFonts w:eastAsia="Times New Roman" w:cs="Times New Roman"/>
          <w:sz w:val="22"/>
          <w:szCs w:val="22"/>
        </w:rPr>
      </w:pPr>
      <w:r w:rsidRPr="00DC1EE5">
        <w:rPr>
          <w:sz w:val="22"/>
          <w:szCs w:val="22"/>
        </w:rPr>
        <w:t xml:space="preserve">Article 6 of the UK GDPR provides a number of grounds </w:t>
      </w:r>
      <w:r w:rsidR="0013514A" w:rsidRPr="00DC1EE5">
        <w:rPr>
          <w:sz w:val="22"/>
          <w:szCs w:val="22"/>
        </w:rPr>
        <w:t>on which pr</w:t>
      </w:r>
      <w:r w:rsidRPr="00DC1EE5">
        <w:rPr>
          <w:sz w:val="22"/>
          <w:szCs w:val="22"/>
        </w:rPr>
        <w:t xml:space="preserve">ocessing can be deemed lawful. Article 6 (1) (e) says </w:t>
      </w:r>
      <w:r w:rsidR="0079114C" w:rsidRPr="00DC1EE5">
        <w:rPr>
          <w:sz w:val="22"/>
          <w:szCs w:val="22"/>
        </w:rPr>
        <w:t>that processing is lawful where</w:t>
      </w:r>
      <w:r w:rsidRPr="00DC1EE5">
        <w:rPr>
          <w:sz w:val="22"/>
          <w:szCs w:val="22"/>
        </w:rPr>
        <w:t xml:space="preserve"> it is</w:t>
      </w:r>
      <w:r w:rsidR="0013514A" w:rsidRPr="00DC1EE5">
        <w:rPr>
          <w:sz w:val="22"/>
          <w:szCs w:val="22"/>
        </w:rPr>
        <w:t xml:space="preserve"> </w:t>
      </w:r>
      <w:r w:rsidRPr="00DC1EE5">
        <w:rPr>
          <w:sz w:val="22"/>
          <w:szCs w:val="22"/>
        </w:rPr>
        <w:t>“</w:t>
      </w:r>
      <w:r w:rsidR="0013514A" w:rsidRPr="00DC1EE5">
        <w:rPr>
          <w:sz w:val="22"/>
          <w:szCs w:val="22"/>
        </w:rPr>
        <w:t xml:space="preserve">necessary for the performance of a task carried out in the public interest or in the exercise of official authority vested in the controller”. </w:t>
      </w:r>
      <w:r w:rsidRPr="00DC1EE5">
        <w:rPr>
          <w:sz w:val="22"/>
          <w:szCs w:val="22"/>
        </w:rPr>
        <w:t xml:space="preserve">This </w:t>
      </w:r>
      <w:r w:rsidR="00D11D2B" w:rsidRPr="00DC1EE5">
        <w:rPr>
          <w:sz w:val="22"/>
          <w:szCs w:val="22"/>
        </w:rPr>
        <w:t xml:space="preserve">implies that companies </w:t>
      </w:r>
      <w:r w:rsidR="00512317" w:rsidRPr="00DC1EE5">
        <w:rPr>
          <w:sz w:val="22"/>
          <w:szCs w:val="22"/>
        </w:rPr>
        <w:t xml:space="preserve">relying on this legal ground </w:t>
      </w:r>
      <w:r w:rsidR="00D11D2B" w:rsidRPr="00DC1EE5">
        <w:rPr>
          <w:sz w:val="22"/>
          <w:szCs w:val="22"/>
        </w:rPr>
        <w:t xml:space="preserve">are controllers of data, rather than processors. According to the GDPR, the data controller (whether a natural or legal person, public authority, agency or other body) controls and is responsible for the data it holds. Alternatively, a data processor </w:t>
      </w:r>
      <w:r w:rsidR="006C0752">
        <w:rPr>
          <w:sz w:val="22"/>
          <w:szCs w:val="22"/>
        </w:rPr>
        <w:t xml:space="preserve">analyses </w:t>
      </w:r>
      <w:r w:rsidR="00D11D2B" w:rsidRPr="00DC1EE5">
        <w:rPr>
          <w:sz w:val="22"/>
          <w:szCs w:val="22"/>
        </w:rPr>
        <w:t xml:space="preserve">the data for another organisation that decides and is responsible for what happens to the data. </w:t>
      </w:r>
      <w:r w:rsidR="006C0752">
        <w:rPr>
          <w:sz w:val="22"/>
          <w:szCs w:val="22"/>
        </w:rPr>
        <w:t xml:space="preserve">We argue that it is entirely inappropriate </w:t>
      </w:r>
      <w:r w:rsidR="00D11D2B" w:rsidRPr="00DC1EE5">
        <w:rPr>
          <w:sz w:val="22"/>
          <w:szCs w:val="22"/>
        </w:rPr>
        <w:t xml:space="preserve">to allow a private company to </w:t>
      </w:r>
      <w:r w:rsidR="00D134A9" w:rsidRPr="00DC1EE5">
        <w:rPr>
          <w:sz w:val="22"/>
          <w:szCs w:val="22"/>
        </w:rPr>
        <w:t xml:space="preserve">hold NHS data and </w:t>
      </w:r>
      <w:r w:rsidR="00D11D2B" w:rsidRPr="00DC1EE5">
        <w:rPr>
          <w:sz w:val="22"/>
          <w:szCs w:val="22"/>
        </w:rPr>
        <w:t>determine the purposes and means of processing</w:t>
      </w:r>
      <w:r w:rsidR="00D134A9" w:rsidRPr="00DC1EE5">
        <w:rPr>
          <w:sz w:val="22"/>
          <w:szCs w:val="22"/>
        </w:rPr>
        <w:t xml:space="preserve"> it.</w:t>
      </w:r>
    </w:p>
    <w:p w14:paraId="1321590D" w14:textId="4107F16E" w:rsidR="001437C6" w:rsidRPr="00DC1EE5" w:rsidRDefault="00D134A9" w:rsidP="00D134A9">
      <w:pPr>
        <w:pStyle w:val="ListParagraph"/>
        <w:numPr>
          <w:ilvl w:val="0"/>
          <w:numId w:val="1"/>
        </w:numPr>
        <w:rPr>
          <w:sz w:val="22"/>
          <w:szCs w:val="22"/>
        </w:rPr>
      </w:pPr>
      <w:r w:rsidRPr="00DC1EE5">
        <w:rPr>
          <w:sz w:val="22"/>
          <w:szCs w:val="22"/>
        </w:rPr>
        <w:t>if the proposal really is that private companies should hold and control publicly collected personal data (rather than process it), determining the legal gro</w:t>
      </w:r>
      <w:r w:rsidR="00D57440">
        <w:rPr>
          <w:sz w:val="22"/>
          <w:szCs w:val="22"/>
        </w:rPr>
        <w:t xml:space="preserve">und for processing is part of </w:t>
      </w:r>
      <w:r w:rsidRPr="00DC1EE5">
        <w:rPr>
          <w:sz w:val="22"/>
          <w:szCs w:val="22"/>
        </w:rPr>
        <w:t xml:space="preserve">the important </w:t>
      </w:r>
      <w:r w:rsidR="00AC7A01">
        <w:rPr>
          <w:sz w:val="22"/>
          <w:szCs w:val="22"/>
        </w:rPr>
        <w:t>scrutiny</w:t>
      </w:r>
      <w:r w:rsidR="00AB40C4">
        <w:rPr>
          <w:sz w:val="22"/>
          <w:szCs w:val="22"/>
        </w:rPr>
        <w:t xml:space="preserve"> of</w:t>
      </w:r>
      <w:r w:rsidR="001437C6" w:rsidRPr="00DC1EE5">
        <w:rPr>
          <w:sz w:val="22"/>
          <w:szCs w:val="22"/>
        </w:rPr>
        <w:t xml:space="preserve"> the data controller’s </w:t>
      </w:r>
      <w:r w:rsidRPr="00DC1EE5">
        <w:rPr>
          <w:sz w:val="22"/>
          <w:szCs w:val="22"/>
        </w:rPr>
        <w:t xml:space="preserve">interests in relation to their </w:t>
      </w:r>
      <w:r w:rsidR="001437C6" w:rsidRPr="00DC1EE5">
        <w:rPr>
          <w:sz w:val="22"/>
          <w:szCs w:val="22"/>
        </w:rPr>
        <w:t xml:space="preserve">responsibilities to individuals and their rights. </w:t>
      </w:r>
      <w:r w:rsidR="006B329D" w:rsidRPr="00DC1EE5">
        <w:rPr>
          <w:sz w:val="22"/>
          <w:szCs w:val="22"/>
        </w:rPr>
        <w:t>Simply relying on A6 (1) (e) could introduce complacency.</w:t>
      </w:r>
    </w:p>
    <w:p w14:paraId="1244114F" w14:textId="77777777" w:rsidR="0079114C" w:rsidRPr="00DC1EE5" w:rsidRDefault="0079114C" w:rsidP="0079114C">
      <w:pPr>
        <w:rPr>
          <w:sz w:val="22"/>
          <w:szCs w:val="22"/>
        </w:rPr>
      </w:pPr>
    </w:p>
    <w:p w14:paraId="3247E1E0" w14:textId="6A6CB89E" w:rsidR="0079114C" w:rsidRPr="00DC1EE5" w:rsidRDefault="0079114C" w:rsidP="0079114C">
      <w:pPr>
        <w:rPr>
          <w:rFonts w:eastAsia="Times New Roman" w:cs="Times New Roman"/>
          <w:sz w:val="22"/>
          <w:szCs w:val="22"/>
          <w:lang w:eastAsia="en-GB"/>
        </w:rPr>
      </w:pPr>
      <w:r w:rsidRPr="00DC1EE5">
        <w:rPr>
          <w:rFonts w:eastAsia="Times New Roman" w:cs="Times New Roman"/>
          <w:sz w:val="22"/>
          <w:szCs w:val="22"/>
          <w:lang w:eastAsia="en-GB"/>
        </w:rPr>
        <w:t xml:space="preserve">Any blurring of the boundaries between public and private interests must be avoided to maintain public trust and ‘data solidarity’. When any companies work for the NHS they should do so under contract with UK GDPR protections for patient personal data safety, </w:t>
      </w:r>
      <w:r w:rsidRPr="00DC1EE5">
        <w:rPr>
          <w:rFonts w:eastAsia="Times New Roman" w:cs="Times New Roman"/>
          <w:sz w:val="22"/>
          <w:szCs w:val="22"/>
          <w:lang w:eastAsia="en-GB"/>
        </w:rPr>
        <w:lastRenderedPageBreak/>
        <w:t>and shared data should not be used for any purpose other than that stipulated, should not be shared with third parties, nor should it be retained by the private company after the end of the contract.</w:t>
      </w:r>
    </w:p>
    <w:p w14:paraId="0161F309" w14:textId="45088394" w:rsidR="00350366" w:rsidRPr="00DC1EE5" w:rsidRDefault="0079114C" w:rsidP="00275E3F">
      <w:pPr>
        <w:pStyle w:val="NormalWeb"/>
        <w:rPr>
          <w:rFonts w:asciiTheme="minorHAnsi" w:hAnsiTheme="minorHAnsi"/>
          <w:sz w:val="22"/>
          <w:szCs w:val="22"/>
        </w:rPr>
      </w:pPr>
      <w:r w:rsidRPr="00DC1EE5">
        <w:rPr>
          <w:rFonts w:asciiTheme="minorHAnsi" w:hAnsiTheme="minorHAnsi"/>
          <w:sz w:val="22"/>
          <w:szCs w:val="22"/>
        </w:rPr>
        <w:t xml:space="preserve">We support the status quo that health data is classed as ‘sensitive personal data’ and should be subject to heightened safeguards. </w:t>
      </w:r>
      <w:r w:rsidRPr="00DC1EE5">
        <w:rPr>
          <w:rFonts w:asciiTheme="minorHAnsi" w:hAnsiTheme="minorHAnsi"/>
          <w:bCs/>
          <w:i/>
          <w:sz w:val="22"/>
          <w:szCs w:val="22"/>
        </w:rPr>
        <w:t>It should only be processed where the individual has given explicit consent</w:t>
      </w:r>
      <w:r w:rsidRPr="00DC1EE5">
        <w:rPr>
          <w:rFonts w:asciiTheme="minorHAnsi" w:hAnsiTheme="minorHAnsi"/>
          <w:b/>
          <w:bCs/>
          <w:sz w:val="22"/>
          <w:szCs w:val="22"/>
        </w:rPr>
        <w:t xml:space="preserve"> </w:t>
      </w:r>
      <w:r w:rsidRPr="00DC1EE5">
        <w:rPr>
          <w:rFonts w:asciiTheme="minorHAnsi" w:hAnsiTheme="minorHAnsi"/>
          <w:sz w:val="22"/>
          <w:szCs w:val="22"/>
        </w:rPr>
        <w:t xml:space="preserve">and used when it is necessary for i) health, social care or public health purposes overseen by healthcare professionals; ii) other specified purposes, such as scientific research; iii) or it is necessary for other reasons of substantial public interest, as defined in Schedule 1 to the Data Protection Act 2018. Pragmatic and helpful guidance issued by the ICO should be used to remove any uncertainties. </w:t>
      </w:r>
    </w:p>
    <w:p w14:paraId="3E6ED81F" w14:textId="1A2E63A4" w:rsidR="00A24D32" w:rsidRPr="00DC1EE5" w:rsidRDefault="00A24D32" w:rsidP="00D11D2B">
      <w:pPr>
        <w:rPr>
          <w:b/>
          <w:sz w:val="22"/>
          <w:szCs w:val="22"/>
        </w:rPr>
      </w:pPr>
      <w:r w:rsidRPr="00DC1EE5">
        <w:rPr>
          <w:b/>
          <w:sz w:val="22"/>
          <w:szCs w:val="22"/>
        </w:rPr>
        <w:t>Processing health data in an emergency</w:t>
      </w:r>
    </w:p>
    <w:p w14:paraId="00B14D58" w14:textId="77777777" w:rsidR="00A24D32" w:rsidRPr="00DC1EE5" w:rsidRDefault="00A24D32" w:rsidP="00D11D2B">
      <w:pPr>
        <w:rPr>
          <w:b/>
          <w:sz w:val="22"/>
          <w:szCs w:val="22"/>
        </w:rPr>
      </w:pPr>
    </w:p>
    <w:p w14:paraId="2CF0D660" w14:textId="384A7DC4" w:rsidR="00A24D32" w:rsidRPr="00DC1EE5" w:rsidRDefault="00A24D32" w:rsidP="00D11D2B">
      <w:pPr>
        <w:rPr>
          <w:b/>
          <w:sz w:val="22"/>
          <w:szCs w:val="22"/>
        </w:rPr>
      </w:pPr>
      <w:r w:rsidRPr="00DC1EE5">
        <w:rPr>
          <w:b/>
          <w:sz w:val="22"/>
          <w:szCs w:val="22"/>
        </w:rPr>
        <w:t>Q4.3.3 To what extent do you agree with the proposal to clarify that public and private bodies may lawfully process health data when necessary for reasons of substantial public interest in relation to public health or other emergencies?</w:t>
      </w:r>
    </w:p>
    <w:p w14:paraId="592015BE" w14:textId="77777777" w:rsidR="00797E69" w:rsidRPr="00DC1EE5" w:rsidRDefault="00797E69" w:rsidP="00D11D2B">
      <w:pPr>
        <w:rPr>
          <w:b/>
          <w:sz w:val="22"/>
          <w:szCs w:val="22"/>
        </w:rPr>
      </w:pPr>
    </w:p>
    <w:p w14:paraId="3EEEFF1A" w14:textId="3D13A603" w:rsidR="00797E69" w:rsidRPr="00DC1EE5" w:rsidRDefault="00275E3F" w:rsidP="00D11D2B">
      <w:pPr>
        <w:rPr>
          <w:b/>
          <w:i/>
          <w:sz w:val="22"/>
          <w:szCs w:val="22"/>
        </w:rPr>
      </w:pPr>
      <w:r w:rsidRPr="00DC1EE5">
        <w:rPr>
          <w:b/>
          <w:i/>
          <w:sz w:val="22"/>
          <w:szCs w:val="22"/>
        </w:rPr>
        <w:t xml:space="preserve">Response: </w:t>
      </w:r>
      <w:r w:rsidR="00797E69" w:rsidRPr="00DC1EE5">
        <w:rPr>
          <w:b/>
          <w:i/>
          <w:sz w:val="22"/>
          <w:szCs w:val="22"/>
        </w:rPr>
        <w:t>Strongly disagree</w:t>
      </w:r>
    </w:p>
    <w:p w14:paraId="72DECC3E" w14:textId="77777777" w:rsidR="00797E69" w:rsidRPr="00DC1EE5" w:rsidRDefault="00797E69" w:rsidP="00D11D2B">
      <w:pPr>
        <w:rPr>
          <w:sz w:val="22"/>
          <w:szCs w:val="22"/>
        </w:rPr>
      </w:pPr>
    </w:p>
    <w:p w14:paraId="1AF9296F" w14:textId="752D36A5" w:rsidR="00D10490" w:rsidRPr="00DC1EE5" w:rsidRDefault="00322F9B" w:rsidP="00D10490">
      <w:pPr>
        <w:rPr>
          <w:sz w:val="22"/>
          <w:szCs w:val="22"/>
        </w:rPr>
      </w:pPr>
      <w:r w:rsidRPr="00DC1EE5">
        <w:rPr>
          <w:sz w:val="22"/>
          <w:szCs w:val="22"/>
        </w:rPr>
        <w:t>The p</w:t>
      </w:r>
      <w:r w:rsidR="00365FFA" w:rsidRPr="00DC1EE5">
        <w:rPr>
          <w:sz w:val="22"/>
          <w:szCs w:val="22"/>
        </w:rPr>
        <w:t>roposal</w:t>
      </w:r>
      <w:r w:rsidR="00797E69" w:rsidRPr="00DC1EE5">
        <w:rPr>
          <w:sz w:val="22"/>
          <w:szCs w:val="22"/>
        </w:rPr>
        <w:t xml:space="preserve"> </w:t>
      </w:r>
      <w:r w:rsidR="00365FFA" w:rsidRPr="00DC1EE5">
        <w:rPr>
          <w:sz w:val="22"/>
          <w:szCs w:val="22"/>
        </w:rPr>
        <w:t xml:space="preserve">risks undermining </w:t>
      </w:r>
      <w:r w:rsidR="00797E69" w:rsidRPr="00DC1EE5">
        <w:rPr>
          <w:sz w:val="22"/>
          <w:szCs w:val="22"/>
        </w:rPr>
        <w:t xml:space="preserve">the </w:t>
      </w:r>
      <w:r w:rsidRPr="00DC1EE5">
        <w:rPr>
          <w:sz w:val="22"/>
          <w:szCs w:val="22"/>
        </w:rPr>
        <w:t xml:space="preserve">additional safeguards </w:t>
      </w:r>
      <w:r w:rsidR="00544145" w:rsidRPr="00DC1EE5">
        <w:rPr>
          <w:sz w:val="22"/>
          <w:szCs w:val="22"/>
        </w:rPr>
        <w:t xml:space="preserve">governing the processing </w:t>
      </w:r>
      <w:r w:rsidRPr="00DC1EE5">
        <w:rPr>
          <w:sz w:val="22"/>
          <w:szCs w:val="22"/>
        </w:rPr>
        <w:t xml:space="preserve">of </w:t>
      </w:r>
      <w:r w:rsidR="005E637B" w:rsidRPr="00DC1EE5">
        <w:rPr>
          <w:sz w:val="22"/>
          <w:szCs w:val="22"/>
        </w:rPr>
        <w:t xml:space="preserve">sensitive </w:t>
      </w:r>
      <w:r w:rsidR="00544145" w:rsidRPr="00DC1EE5">
        <w:rPr>
          <w:sz w:val="22"/>
          <w:szCs w:val="22"/>
        </w:rPr>
        <w:t xml:space="preserve">personal </w:t>
      </w:r>
      <w:r w:rsidR="005E637B" w:rsidRPr="00DC1EE5">
        <w:rPr>
          <w:sz w:val="22"/>
          <w:szCs w:val="22"/>
        </w:rPr>
        <w:t xml:space="preserve">data. </w:t>
      </w:r>
      <w:r w:rsidR="00544145" w:rsidRPr="00DC1EE5">
        <w:rPr>
          <w:sz w:val="22"/>
          <w:szCs w:val="22"/>
        </w:rPr>
        <w:t xml:space="preserve">This is data that reveals racial or ethnic origin, political opinions, religious or philosophical beliefs, and trade union membership, </w:t>
      </w:r>
      <w:r w:rsidR="00517277" w:rsidRPr="00DC1EE5">
        <w:rPr>
          <w:sz w:val="22"/>
          <w:szCs w:val="22"/>
        </w:rPr>
        <w:t xml:space="preserve">data concerning sexual activity or orientation </w:t>
      </w:r>
      <w:r w:rsidR="00544145" w:rsidRPr="00DC1EE5">
        <w:rPr>
          <w:sz w:val="22"/>
          <w:szCs w:val="22"/>
        </w:rPr>
        <w:t>as well as data concerning health</w:t>
      </w:r>
      <w:r w:rsidR="005E637B" w:rsidRPr="00DC1EE5">
        <w:rPr>
          <w:sz w:val="22"/>
          <w:szCs w:val="22"/>
        </w:rPr>
        <w:t>, biometric or genet</w:t>
      </w:r>
      <w:r w:rsidR="006C0752">
        <w:rPr>
          <w:sz w:val="22"/>
          <w:szCs w:val="22"/>
        </w:rPr>
        <w:t>ic data</w:t>
      </w:r>
      <w:r w:rsidR="005E637B" w:rsidRPr="00DC1EE5">
        <w:rPr>
          <w:sz w:val="22"/>
          <w:szCs w:val="22"/>
        </w:rPr>
        <w:t xml:space="preserve">. Processing of such data is prohibited, unless appropriate legal grounds are identified under Article 9 of the UK GDPR (this is in addition to identifying a lawful </w:t>
      </w:r>
      <w:r w:rsidR="00D10490" w:rsidRPr="00DC1EE5">
        <w:rPr>
          <w:sz w:val="22"/>
          <w:szCs w:val="22"/>
        </w:rPr>
        <w:t>ground under Article 6).  Grounds allowing the processing of sensitive personal data</w:t>
      </w:r>
      <w:r w:rsidR="005E637B" w:rsidRPr="00DC1EE5">
        <w:rPr>
          <w:sz w:val="22"/>
          <w:szCs w:val="22"/>
        </w:rPr>
        <w:t xml:space="preserve"> include </w:t>
      </w:r>
    </w:p>
    <w:p w14:paraId="51ECB858" w14:textId="77777777" w:rsidR="00D10490" w:rsidRPr="00DC1EE5" w:rsidRDefault="00322F9B" w:rsidP="00D10490">
      <w:pPr>
        <w:pStyle w:val="ListParagraph"/>
        <w:numPr>
          <w:ilvl w:val="0"/>
          <w:numId w:val="2"/>
        </w:numPr>
        <w:rPr>
          <w:sz w:val="22"/>
          <w:szCs w:val="22"/>
        </w:rPr>
      </w:pPr>
      <w:r w:rsidRPr="00DC1EE5">
        <w:rPr>
          <w:sz w:val="22"/>
          <w:szCs w:val="22"/>
        </w:rPr>
        <w:t>where an individual has given explicit consent</w:t>
      </w:r>
      <w:r w:rsidR="00544145" w:rsidRPr="00DC1EE5">
        <w:rPr>
          <w:sz w:val="22"/>
          <w:szCs w:val="22"/>
        </w:rPr>
        <w:t xml:space="preserve">; </w:t>
      </w:r>
    </w:p>
    <w:p w14:paraId="3088E9EA" w14:textId="77777777" w:rsidR="00D10490" w:rsidRPr="00DC1EE5" w:rsidRDefault="00544145" w:rsidP="00D10490">
      <w:pPr>
        <w:pStyle w:val="ListParagraph"/>
        <w:numPr>
          <w:ilvl w:val="0"/>
          <w:numId w:val="2"/>
        </w:numPr>
        <w:rPr>
          <w:sz w:val="22"/>
          <w:szCs w:val="22"/>
        </w:rPr>
      </w:pPr>
      <w:r w:rsidRPr="00DC1EE5">
        <w:rPr>
          <w:sz w:val="22"/>
          <w:szCs w:val="22"/>
        </w:rPr>
        <w:t>where</w:t>
      </w:r>
      <w:r w:rsidR="00CF4022" w:rsidRPr="00DC1EE5">
        <w:rPr>
          <w:sz w:val="22"/>
          <w:szCs w:val="22"/>
        </w:rPr>
        <w:t xml:space="preserve"> it is necessary for </w:t>
      </w:r>
      <w:r w:rsidR="00D10490" w:rsidRPr="00DC1EE5">
        <w:rPr>
          <w:sz w:val="22"/>
          <w:szCs w:val="22"/>
        </w:rPr>
        <w:t xml:space="preserve">reasons of substantial public interest, or </w:t>
      </w:r>
    </w:p>
    <w:p w14:paraId="21A13C1D" w14:textId="0A18925C" w:rsidR="00D10490" w:rsidRPr="00DC1EE5" w:rsidRDefault="00D10490" w:rsidP="00D11D2B">
      <w:pPr>
        <w:pStyle w:val="ListParagraph"/>
        <w:numPr>
          <w:ilvl w:val="0"/>
          <w:numId w:val="2"/>
        </w:numPr>
        <w:rPr>
          <w:b/>
          <w:sz w:val="22"/>
          <w:szCs w:val="22"/>
        </w:rPr>
      </w:pPr>
      <w:r w:rsidRPr="00DC1EE5">
        <w:rPr>
          <w:sz w:val="22"/>
          <w:szCs w:val="22"/>
        </w:rPr>
        <w:t>where it is necessary for the purposes of preventive or occupational medicine, for the assessment of the working capacity of an employee, medical diagnosis, the provision of health or social care or treatment or the management of health or social care systems or services and</w:t>
      </w:r>
    </w:p>
    <w:p w14:paraId="6BB37D01" w14:textId="14320052" w:rsidR="00D10490" w:rsidRPr="00DC1EE5" w:rsidRDefault="00D10490" w:rsidP="00D11D2B">
      <w:pPr>
        <w:pStyle w:val="ListParagraph"/>
        <w:numPr>
          <w:ilvl w:val="0"/>
          <w:numId w:val="2"/>
        </w:numPr>
        <w:rPr>
          <w:sz w:val="22"/>
          <w:szCs w:val="22"/>
        </w:rPr>
      </w:pPr>
      <w:r w:rsidRPr="00DC1EE5">
        <w:rPr>
          <w:sz w:val="22"/>
          <w:szCs w:val="22"/>
        </w:rPr>
        <w:t xml:space="preserve">purposes such as research carried out by or under the responsibility of a professional, subject to an obligation of secrecy. </w:t>
      </w:r>
    </w:p>
    <w:p w14:paraId="5F9983E4" w14:textId="77777777" w:rsidR="00D436E9" w:rsidRPr="00DC1EE5" w:rsidRDefault="00D436E9" w:rsidP="00D10490">
      <w:pPr>
        <w:rPr>
          <w:sz w:val="22"/>
          <w:szCs w:val="22"/>
        </w:rPr>
      </w:pPr>
    </w:p>
    <w:p w14:paraId="1CC7A711" w14:textId="38605485" w:rsidR="00A24D32" w:rsidRPr="00DC1EE5" w:rsidRDefault="00CF4022" w:rsidP="00D10490">
      <w:pPr>
        <w:rPr>
          <w:sz w:val="22"/>
          <w:szCs w:val="22"/>
        </w:rPr>
      </w:pPr>
      <w:r w:rsidRPr="00DC1EE5">
        <w:rPr>
          <w:sz w:val="22"/>
          <w:szCs w:val="22"/>
        </w:rPr>
        <w:t xml:space="preserve">The consultation </w:t>
      </w:r>
      <w:r w:rsidR="001E79EC" w:rsidRPr="00DC1EE5">
        <w:rPr>
          <w:sz w:val="22"/>
          <w:szCs w:val="22"/>
        </w:rPr>
        <w:t xml:space="preserve">document </w:t>
      </w:r>
      <w:r w:rsidRPr="00DC1EE5">
        <w:rPr>
          <w:sz w:val="22"/>
          <w:szCs w:val="22"/>
        </w:rPr>
        <w:t>claims that</w:t>
      </w:r>
      <w:r w:rsidR="00322F9B" w:rsidRPr="00DC1EE5">
        <w:rPr>
          <w:sz w:val="22"/>
          <w:szCs w:val="22"/>
        </w:rPr>
        <w:t xml:space="preserve"> </w:t>
      </w:r>
      <w:r w:rsidRPr="00DC1EE5">
        <w:rPr>
          <w:sz w:val="22"/>
          <w:szCs w:val="22"/>
        </w:rPr>
        <w:t xml:space="preserve">during the pandemic, </w:t>
      </w:r>
      <w:r w:rsidR="00322F9B" w:rsidRPr="00DC1EE5">
        <w:rPr>
          <w:sz w:val="22"/>
          <w:szCs w:val="22"/>
        </w:rPr>
        <w:t>non-health bodies ha</w:t>
      </w:r>
      <w:r w:rsidR="00544145" w:rsidRPr="00DC1EE5">
        <w:rPr>
          <w:sz w:val="22"/>
          <w:szCs w:val="22"/>
        </w:rPr>
        <w:t>ve ha</w:t>
      </w:r>
      <w:r w:rsidR="00322F9B" w:rsidRPr="00DC1EE5">
        <w:rPr>
          <w:sz w:val="22"/>
          <w:szCs w:val="22"/>
        </w:rPr>
        <w:t xml:space="preserve">d difficulty in identifying </w:t>
      </w:r>
      <w:r w:rsidRPr="00DC1EE5">
        <w:rPr>
          <w:sz w:val="22"/>
          <w:szCs w:val="22"/>
        </w:rPr>
        <w:t xml:space="preserve">the relevant legal ground </w:t>
      </w:r>
      <w:r w:rsidR="001E79EC" w:rsidRPr="00DC1EE5">
        <w:rPr>
          <w:sz w:val="22"/>
          <w:szCs w:val="22"/>
        </w:rPr>
        <w:t xml:space="preserve">under Article 9. The government therefore “proposes to clarify that public and private bodies may lawfully process health data when necessary for reasons of substantial public interest in relation to public health and other emergencies”. </w:t>
      </w:r>
      <w:r w:rsidR="000645E9" w:rsidRPr="00DC1EE5">
        <w:rPr>
          <w:sz w:val="22"/>
          <w:szCs w:val="22"/>
        </w:rPr>
        <w:t xml:space="preserve"> The </w:t>
      </w:r>
      <w:r w:rsidR="004A55F6" w:rsidRPr="00DC1EE5">
        <w:rPr>
          <w:sz w:val="22"/>
          <w:szCs w:val="22"/>
        </w:rPr>
        <w:t xml:space="preserve">existing </w:t>
      </w:r>
      <w:r w:rsidR="000645E9" w:rsidRPr="00DC1EE5">
        <w:rPr>
          <w:sz w:val="22"/>
          <w:szCs w:val="22"/>
        </w:rPr>
        <w:t>legal grounds for processing sensitive personal data are a</w:t>
      </w:r>
      <w:r w:rsidR="004A55F6" w:rsidRPr="00DC1EE5">
        <w:rPr>
          <w:sz w:val="22"/>
          <w:szCs w:val="22"/>
        </w:rPr>
        <w:t xml:space="preserve">lready clear, and do not appear to have hampered access to health data for a range of companies during the pandemic. What the proposal seeks to do is further </w:t>
      </w:r>
      <w:r w:rsidR="00365FFA" w:rsidRPr="00DC1EE5">
        <w:rPr>
          <w:sz w:val="22"/>
          <w:szCs w:val="22"/>
        </w:rPr>
        <w:t xml:space="preserve">facilitate </w:t>
      </w:r>
      <w:r w:rsidR="000645E9" w:rsidRPr="00DC1EE5">
        <w:rPr>
          <w:sz w:val="22"/>
          <w:szCs w:val="22"/>
        </w:rPr>
        <w:t>the private sector’s access to individuals’ sensitive personal data</w:t>
      </w:r>
      <w:r w:rsidR="00365FFA" w:rsidRPr="00DC1EE5">
        <w:rPr>
          <w:sz w:val="22"/>
          <w:szCs w:val="22"/>
        </w:rPr>
        <w:t xml:space="preserve">, without saying </w:t>
      </w:r>
      <w:r w:rsidR="00D436E9" w:rsidRPr="00DC1EE5">
        <w:rPr>
          <w:sz w:val="22"/>
          <w:szCs w:val="22"/>
        </w:rPr>
        <w:t xml:space="preserve">‘how substantial public interest’ is to be defined, and </w:t>
      </w:r>
      <w:r w:rsidR="00365FFA" w:rsidRPr="00DC1EE5">
        <w:rPr>
          <w:sz w:val="22"/>
          <w:szCs w:val="22"/>
        </w:rPr>
        <w:t xml:space="preserve">what safeguards should be in place to protect the sensitivity of the data. </w:t>
      </w:r>
    </w:p>
    <w:p w14:paraId="7D926367" w14:textId="77777777" w:rsidR="00D436E9" w:rsidRPr="00DC1EE5" w:rsidRDefault="00D436E9" w:rsidP="00D10490">
      <w:pPr>
        <w:rPr>
          <w:sz w:val="22"/>
          <w:szCs w:val="22"/>
        </w:rPr>
      </w:pPr>
    </w:p>
    <w:p w14:paraId="35C2EA75" w14:textId="5387369E" w:rsidR="00D436E9" w:rsidRPr="00DC1EE5" w:rsidRDefault="00D436E9" w:rsidP="00D436E9">
      <w:pPr>
        <w:rPr>
          <w:sz w:val="22"/>
          <w:szCs w:val="22"/>
        </w:rPr>
      </w:pPr>
      <w:r w:rsidRPr="00DC1EE5">
        <w:rPr>
          <w:sz w:val="22"/>
          <w:szCs w:val="22"/>
        </w:rPr>
        <w:t xml:space="preserve">What constitutes ‘substantial public interest’? </w:t>
      </w:r>
      <w:r w:rsidR="00CE77B8" w:rsidRPr="00DC1EE5">
        <w:rPr>
          <w:sz w:val="22"/>
          <w:szCs w:val="22"/>
        </w:rPr>
        <w:t xml:space="preserve">One of our concerns is </w:t>
      </w:r>
      <w:r w:rsidRPr="00DC1EE5">
        <w:rPr>
          <w:sz w:val="22"/>
          <w:szCs w:val="22"/>
        </w:rPr>
        <w:t xml:space="preserve">that </w:t>
      </w:r>
      <w:r w:rsidR="002C7FAB" w:rsidRPr="00DC1EE5">
        <w:rPr>
          <w:sz w:val="22"/>
          <w:szCs w:val="22"/>
        </w:rPr>
        <w:t>all sorts</w:t>
      </w:r>
      <w:r w:rsidRPr="00DC1EE5">
        <w:rPr>
          <w:sz w:val="22"/>
          <w:szCs w:val="22"/>
        </w:rPr>
        <w:t xml:space="preserve"> of future wishes could be reframed as ‘substantial public interests’.  Perhaps our future economic certainty could be threatened by geopolitical competition, and we require access to large amounts of personal data to bolster our A.I. develo</w:t>
      </w:r>
      <w:r w:rsidR="00724EF3">
        <w:rPr>
          <w:sz w:val="22"/>
          <w:szCs w:val="22"/>
        </w:rPr>
        <w:t xml:space="preserve">pment in an attempt to </w:t>
      </w:r>
      <w:r w:rsidR="00724EF3">
        <w:rPr>
          <w:sz w:val="22"/>
          <w:szCs w:val="22"/>
        </w:rPr>
        <w:lastRenderedPageBreak/>
        <w:t xml:space="preserve">achieve - </w:t>
      </w:r>
      <w:r w:rsidRPr="00DC1EE5">
        <w:rPr>
          <w:sz w:val="22"/>
          <w:szCs w:val="22"/>
        </w:rPr>
        <w:t>to use the government’s terminology</w:t>
      </w:r>
      <w:r w:rsidR="00724EF3">
        <w:rPr>
          <w:sz w:val="22"/>
          <w:szCs w:val="22"/>
        </w:rPr>
        <w:t xml:space="preserve"> -</w:t>
      </w:r>
      <w:r w:rsidRPr="00DC1EE5">
        <w:rPr>
          <w:sz w:val="22"/>
          <w:szCs w:val="22"/>
        </w:rPr>
        <w:t xml:space="preserve"> ‘super power’ status. Widening the concept of ‘substantial public interest’ could be seen as the thin end of a very large wedge, especially when the amount of money to be made is huge according to the future financial figures for A.I. We believe that determining ‘substantial public interest’ should be guided by the ICO and its pragmatic approach. In addition we wish to see Article 6(1)(e) of the UK GDPR should be retained as the lawful basis of processing, </w:t>
      </w:r>
    </w:p>
    <w:p w14:paraId="122205E7" w14:textId="77777777" w:rsidR="002C7FAB" w:rsidRDefault="002C7FAB" w:rsidP="00D11D2B">
      <w:pPr>
        <w:rPr>
          <w:b/>
          <w:sz w:val="22"/>
          <w:szCs w:val="22"/>
        </w:rPr>
      </w:pPr>
    </w:p>
    <w:p w14:paraId="3E49302E" w14:textId="77777777" w:rsidR="002C7FAB" w:rsidRDefault="002C7FAB" w:rsidP="00D11D2B">
      <w:pPr>
        <w:rPr>
          <w:b/>
          <w:sz w:val="22"/>
          <w:szCs w:val="22"/>
        </w:rPr>
      </w:pPr>
    </w:p>
    <w:p w14:paraId="51DD2134" w14:textId="2E746E7A" w:rsidR="0029533C" w:rsidRPr="00DC1EE5" w:rsidRDefault="0029533C" w:rsidP="00D11D2B">
      <w:pPr>
        <w:rPr>
          <w:b/>
          <w:sz w:val="22"/>
          <w:szCs w:val="22"/>
        </w:rPr>
      </w:pPr>
      <w:r w:rsidRPr="00DC1EE5">
        <w:rPr>
          <w:b/>
          <w:sz w:val="22"/>
          <w:szCs w:val="22"/>
        </w:rPr>
        <w:t>Transparency mechanisms for algorithms</w:t>
      </w:r>
    </w:p>
    <w:p w14:paraId="43BF0880" w14:textId="77777777" w:rsidR="0029533C" w:rsidRPr="00DC1EE5" w:rsidRDefault="0029533C" w:rsidP="00D11D2B">
      <w:pPr>
        <w:rPr>
          <w:b/>
          <w:sz w:val="22"/>
          <w:szCs w:val="22"/>
        </w:rPr>
      </w:pPr>
    </w:p>
    <w:p w14:paraId="12B5E999" w14:textId="31CFA1DD" w:rsidR="0029533C" w:rsidRPr="00DC1EE5" w:rsidRDefault="0029533C" w:rsidP="00D11D2B">
      <w:pPr>
        <w:rPr>
          <w:b/>
          <w:sz w:val="22"/>
          <w:szCs w:val="22"/>
        </w:rPr>
      </w:pPr>
      <w:r w:rsidRPr="00DC1EE5">
        <w:rPr>
          <w:b/>
          <w:sz w:val="22"/>
          <w:szCs w:val="22"/>
        </w:rPr>
        <w:t>Q4.4.1 To what extent do you agree that compulsory transparency reporting on the use of algorithms in decision-making for public authorities, government departments and government contractors using public data will improve public trust in government use of data.</w:t>
      </w:r>
    </w:p>
    <w:p w14:paraId="05816B03" w14:textId="77777777" w:rsidR="0029533C" w:rsidRPr="00DC1EE5" w:rsidRDefault="0029533C" w:rsidP="00D11D2B">
      <w:pPr>
        <w:rPr>
          <w:b/>
          <w:sz w:val="22"/>
          <w:szCs w:val="22"/>
        </w:rPr>
      </w:pPr>
    </w:p>
    <w:p w14:paraId="626ECA4B" w14:textId="596921F0" w:rsidR="0029533C" w:rsidRPr="00DC1EE5" w:rsidRDefault="00382B72" w:rsidP="00D11D2B">
      <w:pPr>
        <w:rPr>
          <w:b/>
          <w:i/>
          <w:sz w:val="22"/>
          <w:szCs w:val="22"/>
        </w:rPr>
      </w:pPr>
      <w:r w:rsidRPr="00DC1EE5">
        <w:rPr>
          <w:b/>
          <w:i/>
          <w:sz w:val="22"/>
          <w:szCs w:val="22"/>
        </w:rPr>
        <w:t>Response: Strongly d</w:t>
      </w:r>
      <w:r w:rsidR="0029533C" w:rsidRPr="00DC1EE5">
        <w:rPr>
          <w:b/>
          <w:i/>
          <w:sz w:val="22"/>
          <w:szCs w:val="22"/>
        </w:rPr>
        <w:t>isagree</w:t>
      </w:r>
    </w:p>
    <w:p w14:paraId="5484D61A" w14:textId="3B41B72C" w:rsidR="00AF45EB" w:rsidRPr="00DC1EE5" w:rsidRDefault="00A87FE2" w:rsidP="000A0C08">
      <w:pPr>
        <w:pStyle w:val="NormalWeb"/>
        <w:rPr>
          <w:rFonts w:asciiTheme="minorHAnsi" w:hAnsiTheme="minorHAnsi"/>
          <w:sz w:val="22"/>
          <w:szCs w:val="22"/>
        </w:rPr>
      </w:pPr>
      <w:r w:rsidRPr="00DC1EE5">
        <w:rPr>
          <w:rFonts w:asciiTheme="minorHAnsi" w:hAnsiTheme="minorHAnsi"/>
          <w:sz w:val="22"/>
          <w:szCs w:val="22"/>
        </w:rPr>
        <w:t>Algorithms are not neutral tools: created by humans</w:t>
      </w:r>
      <w:r w:rsidR="00D7568B" w:rsidRPr="00DC1EE5">
        <w:rPr>
          <w:rFonts w:asciiTheme="minorHAnsi" w:hAnsiTheme="minorHAnsi"/>
          <w:sz w:val="22"/>
          <w:szCs w:val="22"/>
        </w:rPr>
        <w:t>,</w:t>
      </w:r>
      <w:r w:rsidRPr="00DC1EE5">
        <w:rPr>
          <w:rFonts w:asciiTheme="minorHAnsi" w:hAnsiTheme="minorHAnsi"/>
          <w:sz w:val="22"/>
          <w:szCs w:val="22"/>
        </w:rPr>
        <w:t xml:space="preserve"> they are inevitably value laden</w:t>
      </w:r>
      <w:r w:rsidR="00B30927" w:rsidRPr="00DC1EE5">
        <w:rPr>
          <w:rFonts w:asciiTheme="minorHAnsi" w:hAnsiTheme="minorHAnsi"/>
          <w:sz w:val="22"/>
          <w:szCs w:val="22"/>
        </w:rPr>
        <w:t xml:space="preserve"> and</w:t>
      </w:r>
      <w:r w:rsidRPr="00DC1EE5">
        <w:rPr>
          <w:rFonts w:asciiTheme="minorHAnsi" w:hAnsiTheme="minorHAnsi"/>
          <w:sz w:val="22"/>
          <w:szCs w:val="22"/>
        </w:rPr>
        <w:t xml:space="preserve"> designed with particular outcomes in mind</w:t>
      </w:r>
      <w:r w:rsidRPr="00DC1EE5">
        <w:rPr>
          <w:rFonts w:asciiTheme="minorHAnsi" w:hAnsiTheme="minorHAnsi"/>
          <w:b/>
          <w:sz w:val="22"/>
          <w:szCs w:val="22"/>
        </w:rPr>
        <w:t xml:space="preserve"> </w:t>
      </w:r>
      <w:r w:rsidRPr="00DC1EE5">
        <w:rPr>
          <w:rFonts w:asciiTheme="minorHAnsi" w:hAnsiTheme="minorHAnsi"/>
          <w:sz w:val="22"/>
          <w:szCs w:val="22"/>
        </w:rPr>
        <w:t xml:space="preserve">that will privilege some outcomes over others.  </w:t>
      </w:r>
      <w:r w:rsidR="00AF6510" w:rsidRPr="00DC1EE5">
        <w:rPr>
          <w:rFonts w:asciiTheme="minorHAnsi" w:hAnsiTheme="minorHAnsi"/>
          <w:sz w:val="22"/>
          <w:szCs w:val="22"/>
        </w:rPr>
        <w:t xml:space="preserve">In the health service, the growing dependence on algorithms runs the risk of undermining clinicians’ use of clinical judgement </w:t>
      </w:r>
      <w:r w:rsidR="00B30927" w:rsidRPr="00DC1EE5">
        <w:rPr>
          <w:rFonts w:asciiTheme="minorHAnsi" w:hAnsiTheme="minorHAnsi"/>
          <w:sz w:val="22"/>
          <w:szCs w:val="22"/>
        </w:rPr>
        <w:t xml:space="preserve">while </w:t>
      </w:r>
      <w:r w:rsidR="00AF6510" w:rsidRPr="00DC1EE5">
        <w:rPr>
          <w:rFonts w:asciiTheme="minorHAnsi" w:hAnsiTheme="minorHAnsi"/>
          <w:sz w:val="22"/>
          <w:szCs w:val="22"/>
        </w:rPr>
        <w:t xml:space="preserve">relying on </w:t>
      </w:r>
      <w:r w:rsidR="00382B72" w:rsidRPr="00DC1EE5">
        <w:rPr>
          <w:rFonts w:asciiTheme="minorHAnsi" w:hAnsiTheme="minorHAnsi"/>
          <w:sz w:val="22"/>
          <w:szCs w:val="22"/>
        </w:rPr>
        <w:t>under-</w:t>
      </w:r>
      <w:r w:rsidR="00AF6510" w:rsidRPr="00DC1EE5">
        <w:rPr>
          <w:rFonts w:asciiTheme="minorHAnsi" w:hAnsiTheme="minorHAnsi"/>
          <w:sz w:val="22"/>
          <w:szCs w:val="22"/>
        </w:rPr>
        <w:t xml:space="preserve">skilled staff who may not recognise when an algorithm’s decision is </w:t>
      </w:r>
      <w:r w:rsidR="000A0C08" w:rsidRPr="00DC1EE5">
        <w:rPr>
          <w:rFonts w:asciiTheme="minorHAnsi" w:hAnsiTheme="minorHAnsi"/>
          <w:sz w:val="22"/>
          <w:szCs w:val="22"/>
        </w:rPr>
        <w:t>unsaf</w:t>
      </w:r>
      <w:r w:rsidR="00AF6510" w:rsidRPr="00DC1EE5">
        <w:rPr>
          <w:rFonts w:asciiTheme="minorHAnsi" w:hAnsiTheme="minorHAnsi"/>
          <w:sz w:val="22"/>
          <w:szCs w:val="22"/>
        </w:rPr>
        <w:t>e. Where algorithms are used, of course there needs to be transparency so they</w:t>
      </w:r>
      <w:r w:rsidR="00382B72" w:rsidRPr="00DC1EE5">
        <w:rPr>
          <w:rFonts w:asciiTheme="minorHAnsi" w:hAnsiTheme="minorHAnsi"/>
          <w:sz w:val="22"/>
          <w:szCs w:val="22"/>
        </w:rPr>
        <w:t xml:space="preserve"> can be scrutinised for bias and</w:t>
      </w:r>
      <w:r w:rsidR="000A0C08" w:rsidRPr="00DC1EE5">
        <w:rPr>
          <w:rFonts w:asciiTheme="minorHAnsi" w:hAnsiTheme="minorHAnsi"/>
          <w:sz w:val="22"/>
          <w:szCs w:val="22"/>
        </w:rPr>
        <w:t xml:space="preserve"> other shortcomings</w:t>
      </w:r>
      <w:r w:rsidR="00AF6510" w:rsidRPr="00DC1EE5">
        <w:rPr>
          <w:rFonts w:asciiTheme="minorHAnsi" w:hAnsiTheme="minorHAnsi"/>
          <w:sz w:val="22"/>
          <w:szCs w:val="22"/>
        </w:rPr>
        <w:t xml:space="preserve">. However, </w:t>
      </w:r>
      <w:r w:rsidR="00382B72" w:rsidRPr="00DC1EE5">
        <w:rPr>
          <w:rFonts w:asciiTheme="minorHAnsi" w:hAnsiTheme="minorHAnsi"/>
          <w:sz w:val="22"/>
          <w:szCs w:val="22"/>
        </w:rPr>
        <w:t xml:space="preserve">if the personal health data used to develop algorithms is extracted without </w:t>
      </w:r>
      <w:r w:rsidR="000A0C08" w:rsidRPr="00DC1EE5">
        <w:rPr>
          <w:rFonts w:asciiTheme="minorHAnsi" w:hAnsiTheme="minorHAnsi"/>
          <w:sz w:val="22"/>
          <w:szCs w:val="22"/>
        </w:rPr>
        <w:t xml:space="preserve">individuals’ </w:t>
      </w:r>
      <w:r w:rsidR="00382B72" w:rsidRPr="00DC1EE5">
        <w:rPr>
          <w:rFonts w:asciiTheme="minorHAnsi" w:hAnsiTheme="minorHAnsi"/>
          <w:sz w:val="22"/>
          <w:szCs w:val="22"/>
        </w:rPr>
        <w:t>consent or appropriate safeguards, it is hard to see how transparency</w:t>
      </w:r>
      <w:r w:rsidR="000A0C08" w:rsidRPr="00DC1EE5">
        <w:rPr>
          <w:rFonts w:asciiTheme="minorHAnsi" w:hAnsiTheme="minorHAnsi"/>
          <w:sz w:val="22"/>
          <w:szCs w:val="22"/>
        </w:rPr>
        <w:t xml:space="preserve"> – for example</w:t>
      </w:r>
      <w:r w:rsidR="00382B72" w:rsidRPr="00DC1EE5">
        <w:rPr>
          <w:rFonts w:asciiTheme="minorHAnsi" w:hAnsiTheme="minorHAnsi"/>
          <w:sz w:val="22"/>
          <w:szCs w:val="22"/>
        </w:rPr>
        <w:t xml:space="preserve"> </w:t>
      </w:r>
      <w:r w:rsidR="00D7568B" w:rsidRPr="00DC1EE5">
        <w:rPr>
          <w:rFonts w:asciiTheme="minorHAnsi" w:hAnsiTheme="minorHAnsi"/>
          <w:sz w:val="22"/>
          <w:szCs w:val="22"/>
        </w:rPr>
        <w:t>about an algorithm’s technical specifications or which data sets it has used</w:t>
      </w:r>
      <w:r w:rsidR="000A0C08" w:rsidRPr="00DC1EE5">
        <w:rPr>
          <w:rFonts w:asciiTheme="minorHAnsi" w:hAnsiTheme="minorHAnsi"/>
          <w:sz w:val="22"/>
          <w:szCs w:val="22"/>
        </w:rPr>
        <w:t xml:space="preserve"> - </w:t>
      </w:r>
      <w:r w:rsidR="00D7568B" w:rsidRPr="00DC1EE5">
        <w:rPr>
          <w:rFonts w:asciiTheme="minorHAnsi" w:hAnsiTheme="minorHAnsi"/>
          <w:sz w:val="22"/>
          <w:szCs w:val="22"/>
        </w:rPr>
        <w:t xml:space="preserve"> </w:t>
      </w:r>
      <w:r w:rsidR="000A0C08" w:rsidRPr="00DC1EE5">
        <w:rPr>
          <w:rFonts w:asciiTheme="minorHAnsi" w:hAnsiTheme="minorHAnsi"/>
          <w:sz w:val="22"/>
          <w:szCs w:val="22"/>
        </w:rPr>
        <w:t>will</w:t>
      </w:r>
      <w:r w:rsidR="00D7568B" w:rsidRPr="00DC1EE5">
        <w:rPr>
          <w:rFonts w:asciiTheme="minorHAnsi" w:hAnsiTheme="minorHAnsi"/>
          <w:sz w:val="22"/>
          <w:szCs w:val="22"/>
        </w:rPr>
        <w:t xml:space="preserve"> </w:t>
      </w:r>
      <w:r w:rsidR="00382B72" w:rsidRPr="00DC1EE5">
        <w:rPr>
          <w:rFonts w:asciiTheme="minorHAnsi" w:hAnsiTheme="minorHAnsi"/>
          <w:sz w:val="22"/>
          <w:szCs w:val="22"/>
        </w:rPr>
        <w:t xml:space="preserve">in itself improve the public trust in government use of data. </w:t>
      </w:r>
    </w:p>
    <w:p w14:paraId="38D7985E" w14:textId="77777777" w:rsidR="00DC1EE5" w:rsidRDefault="00DC1EE5" w:rsidP="00CE77B8">
      <w:pPr>
        <w:rPr>
          <w:b/>
          <w:sz w:val="22"/>
          <w:szCs w:val="22"/>
        </w:rPr>
      </w:pPr>
    </w:p>
    <w:p w14:paraId="716B81F5" w14:textId="77777777" w:rsidR="00CE77B8" w:rsidRPr="00DC1EE5" w:rsidRDefault="00CE77B8" w:rsidP="00CE77B8">
      <w:pPr>
        <w:rPr>
          <w:b/>
          <w:sz w:val="22"/>
          <w:szCs w:val="22"/>
        </w:rPr>
      </w:pPr>
      <w:r w:rsidRPr="00DC1EE5">
        <w:rPr>
          <w:b/>
          <w:sz w:val="22"/>
          <w:szCs w:val="22"/>
        </w:rPr>
        <w:t xml:space="preserve">Q4.4.5. To what extent do you agree with the following statement: ‘It may be difficult to distinguish processing that is in the substantial public interest from processing in the public interest’? </w:t>
      </w:r>
    </w:p>
    <w:p w14:paraId="446599E7" w14:textId="77777777" w:rsidR="00CE77B8" w:rsidRPr="00DC1EE5" w:rsidRDefault="00CE77B8" w:rsidP="00CE77B8">
      <w:pPr>
        <w:rPr>
          <w:b/>
          <w:sz w:val="22"/>
          <w:szCs w:val="22"/>
        </w:rPr>
      </w:pPr>
    </w:p>
    <w:p w14:paraId="08CDFD2D" w14:textId="67486711" w:rsidR="00CE77B8" w:rsidRPr="00DC1EE5" w:rsidRDefault="00CE77B8" w:rsidP="00CE77B8">
      <w:pPr>
        <w:rPr>
          <w:b/>
          <w:i/>
          <w:sz w:val="22"/>
          <w:szCs w:val="22"/>
        </w:rPr>
      </w:pPr>
      <w:r w:rsidRPr="00DC1EE5">
        <w:rPr>
          <w:b/>
          <w:i/>
          <w:sz w:val="22"/>
          <w:szCs w:val="22"/>
        </w:rPr>
        <w:t>Response: Strongly disagree</w:t>
      </w:r>
    </w:p>
    <w:p w14:paraId="5FA6F3B4" w14:textId="77777777" w:rsidR="00CE77B8" w:rsidRPr="00DC1EE5" w:rsidRDefault="00CE77B8" w:rsidP="00CE77B8">
      <w:pPr>
        <w:rPr>
          <w:b/>
          <w:i/>
          <w:sz w:val="22"/>
          <w:szCs w:val="22"/>
        </w:rPr>
      </w:pPr>
    </w:p>
    <w:p w14:paraId="6C6DE9AC" w14:textId="77777777" w:rsidR="00F1016B" w:rsidRPr="00DC1EE5" w:rsidRDefault="00611D89" w:rsidP="00F1016B">
      <w:pPr>
        <w:rPr>
          <w:sz w:val="22"/>
          <w:szCs w:val="22"/>
        </w:rPr>
      </w:pPr>
      <w:r w:rsidRPr="00DC1EE5">
        <w:rPr>
          <w:sz w:val="22"/>
          <w:szCs w:val="22"/>
        </w:rPr>
        <w:t xml:space="preserve">The ICO already </w:t>
      </w:r>
      <w:r w:rsidR="009B2246" w:rsidRPr="00DC1EE5">
        <w:rPr>
          <w:sz w:val="22"/>
          <w:szCs w:val="22"/>
        </w:rPr>
        <w:t xml:space="preserve">clarifies the difference between ‘public interest’ and ‘substantial public interest’ and provides guidance on </w:t>
      </w:r>
      <w:r w:rsidRPr="00DC1EE5">
        <w:rPr>
          <w:sz w:val="22"/>
          <w:szCs w:val="22"/>
        </w:rPr>
        <w:t>determining whether processing is in the ‘substantial public interest’</w:t>
      </w:r>
      <w:r w:rsidR="009B2246" w:rsidRPr="00DC1EE5">
        <w:rPr>
          <w:sz w:val="22"/>
          <w:szCs w:val="22"/>
        </w:rPr>
        <w:t xml:space="preserve">. </w:t>
      </w:r>
    </w:p>
    <w:p w14:paraId="491AF08D" w14:textId="0CFC60D3" w:rsidR="00CE77B8" w:rsidRPr="00DC1EE5" w:rsidRDefault="00F1016B" w:rsidP="00F1016B">
      <w:pPr>
        <w:rPr>
          <w:sz w:val="22"/>
          <w:szCs w:val="22"/>
        </w:rPr>
      </w:pPr>
      <w:r w:rsidRPr="00DC1EE5">
        <w:rPr>
          <w:sz w:val="22"/>
          <w:szCs w:val="22"/>
        </w:rPr>
        <w:t xml:space="preserve">The conditions for processing data in the substantial public interest are set out in Schedule 1 of the Data Protection Act 2018. Data controllers have to demonstrate that they meet the relevant condition. </w:t>
      </w:r>
    </w:p>
    <w:p w14:paraId="3C082470" w14:textId="3C4A5125" w:rsidR="00803B65" w:rsidRDefault="00803B65" w:rsidP="00D11D2B">
      <w:pPr>
        <w:rPr>
          <w:b/>
          <w:sz w:val="22"/>
          <w:szCs w:val="22"/>
        </w:rPr>
      </w:pPr>
    </w:p>
    <w:p w14:paraId="0A17CCE4" w14:textId="4E1BEF24" w:rsidR="006A080C" w:rsidRDefault="006A080C" w:rsidP="00D11D2B">
      <w:pPr>
        <w:rPr>
          <w:b/>
          <w:sz w:val="22"/>
          <w:szCs w:val="22"/>
        </w:rPr>
      </w:pPr>
    </w:p>
    <w:p w14:paraId="20B20748" w14:textId="77777777" w:rsidR="006A080C" w:rsidRPr="00ED1B9B" w:rsidRDefault="006A080C" w:rsidP="00D11D2B">
      <w:pPr>
        <w:rPr>
          <w:b/>
          <w:i/>
          <w:sz w:val="22"/>
          <w:szCs w:val="22"/>
        </w:rPr>
      </w:pPr>
    </w:p>
    <w:sectPr w:rsidR="006A080C" w:rsidRPr="00ED1B9B" w:rsidSect="00DF108A">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0628" w14:textId="77777777" w:rsidR="00AC5F74" w:rsidRDefault="00AC5F74" w:rsidP="00264FA3">
      <w:r>
        <w:separator/>
      </w:r>
    </w:p>
  </w:endnote>
  <w:endnote w:type="continuationSeparator" w:id="0">
    <w:p w14:paraId="7B84F8B5" w14:textId="77777777" w:rsidR="00AC5F74" w:rsidRDefault="00AC5F74" w:rsidP="0026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88ED" w14:textId="77777777" w:rsidR="00BE29A6" w:rsidRDefault="00BE29A6" w:rsidP="00066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1BADD" w14:textId="77777777" w:rsidR="00BE29A6" w:rsidRDefault="00BE29A6" w:rsidP="00B74C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EAFC" w14:textId="77777777" w:rsidR="00BE29A6" w:rsidRDefault="00BE29A6" w:rsidP="00066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4A4C">
      <w:rPr>
        <w:rStyle w:val="PageNumber"/>
        <w:noProof/>
      </w:rPr>
      <w:t>9</w:t>
    </w:r>
    <w:r>
      <w:rPr>
        <w:rStyle w:val="PageNumber"/>
      </w:rPr>
      <w:fldChar w:fldCharType="end"/>
    </w:r>
  </w:p>
  <w:p w14:paraId="1E1E01C0" w14:textId="77777777" w:rsidR="00BE29A6" w:rsidRDefault="00BE29A6" w:rsidP="00B74C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CD05" w14:textId="77777777" w:rsidR="00AC5F74" w:rsidRDefault="00AC5F74" w:rsidP="00264FA3">
      <w:r>
        <w:separator/>
      </w:r>
    </w:p>
  </w:footnote>
  <w:footnote w:type="continuationSeparator" w:id="0">
    <w:p w14:paraId="0E42BD79" w14:textId="77777777" w:rsidR="00AC5F74" w:rsidRDefault="00AC5F74" w:rsidP="00264FA3">
      <w:r>
        <w:continuationSeparator/>
      </w:r>
    </w:p>
  </w:footnote>
  <w:footnote w:id="1">
    <w:p w14:paraId="0CB502B9" w14:textId="3F99A11A" w:rsidR="00BE29A6" w:rsidRPr="00D176ED" w:rsidRDefault="00BE29A6" w:rsidP="00B42D0A">
      <w:pPr>
        <w:rPr>
          <w:rFonts w:eastAsia="Times New Roman" w:cs="Times New Roman"/>
          <w:color w:val="212529"/>
          <w:sz w:val="20"/>
          <w:szCs w:val="20"/>
          <w:shd w:val="clear" w:color="auto" w:fill="FFFFFF"/>
        </w:rPr>
      </w:pPr>
      <w:r>
        <w:rPr>
          <w:rStyle w:val="FootnoteReference"/>
        </w:rPr>
        <w:footnoteRef/>
      </w:r>
      <w:r>
        <w:t xml:space="preserve"> </w:t>
      </w:r>
      <w:r w:rsidRPr="00D176ED">
        <w:rPr>
          <w:sz w:val="20"/>
          <w:szCs w:val="20"/>
        </w:rPr>
        <w:t>The proposals will, for example, remove the requirement of human review of algorithmic decisions about the recruitment, managem</w:t>
      </w:r>
      <w:r>
        <w:rPr>
          <w:sz w:val="20"/>
          <w:szCs w:val="20"/>
        </w:rPr>
        <w:t xml:space="preserve">ent or dismissal of employees, </w:t>
      </w:r>
      <w:r w:rsidRPr="00D176ED">
        <w:rPr>
          <w:sz w:val="20"/>
          <w:szCs w:val="20"/>
        </w:rPr>
        <w:t>making it more difficult for employees to address work related abuses</w:t>
      </w:r>
      <w:r>
        <w:rPr>
          <w:sz w:val="20"/>
          <w:szCs w:val="20"/>
        </w:rPr>
        <w:t xml:space="preserve"> and discrimination</w:t>
      </w:r>
      <w:r w:rsidRPr="00D176ED">
        <w:rPr>
          <w:sz w:val="20"/>
          <w:szCs w:val="20"/>
        </w:rPr>
        <w:t>.</w:t>
      </w:r>
      <w:r>
        <w:rPr>
          <w:sz w:val="20"/>
          <w:szCs w:val="20"/>
        </w:rPr>
        <w:t xml:space="preserve"> </w:t>
      </w:r>
    </w:p>
    <w:p w14:paraId="59AECF9C" w14:textId="67BE023B" w:rsidR="00BE29A6" w:rsidRDefault="00BE29A6" w:rsidP="00B42D0A">
      <w:pPr>
        <w:pStyle w:val="NormalWeb"/>
        <w:rPr>
          <w:rFonts w:ascii="Times" w:hAnsi="Times"/>
          <w:color w:val="212529"/>
          <w:sz w:val="24"/>
          <w:szCs w:val="24"/>
        </w:rPr>
      </w:pPr>
      <w:r>
        <w:t xml:space="preserve"> </w:t>
      </w:r>
    </w:p>
    <w:p w14:paraId="7F5B7455" w14:textId="54BE963D" w:rsidR="00BE29A6" w:rsidRPr="00D310CE" w:rsidRDefault="00BE29A6">
      <w:pPr>
        <w:pStyle w:val="FootnoteText"/>
        <w:rPr>
          <w:lang w:val="en-US"/>
        </w:rPr>
      </w:pPr>
    </w:p>
  </w:footnote>
  <w:footnote w:id="2">
    <w:p w14:paraId="158EEF51" w14:textId="3DD98A97" w:rsidR="00BE29A6" w:rsidRPr="00A71986" w:rsidRDefault="00BE29A6">
      <w:pPr>
        <w:pStyle w:val="FootnoteText"/>
        <w:rPr>
          <w:sz w:val="20"/>
          <w:szCs w:val="20"/>
        </w:rPr>
      </w:pPr>
      <w:r>
        <w:rPr>
          <w:rStyle w:val="FootnoteReference"/>
        </w:rPr>
        <w:footnoteRef/>
      </w:r>
      <w:r>
        <w:t xml:space="preserve"> </w:t>
      </w:r>
      <w:hyperlink r:id="rId1" w:history="1">
        <w:r w:rsidRPr="00A71986">
          <w:rPr>
            <w:rStyle w:val="Hyperlink"/>
            <w:sz w:val="20"/>
            <w:szCs w:val="20"/>
          </w:rPr>
          <w:t>https://www.cnbc.com/2021/09/22/uk-publishes-plan-to-become-ai-superpower-and-rival-us-and-china.html</w:t>
        </w:r>
      </w:hyperlink>
    </w:p>
  </w:footnote>
  <w:footnote w:id="3">
    <w:p w14:paraId="5BFD419F" w14:textId="6319AB6B" w:rsidR="00BE29A6" w:rsidRPr="00A71986" w:rsidRDefault="00BE29A6">
      <w:pPr>
        <w:pStyle w:val="FootnoteText"/>
        <w:rPr>
          <w:sz w:val="20"/>
          <w:szCs w:val="20"/>
        </w:rPr>
      </w:pPr>
      <w:r w:rsidRPr="00A71986">
        <w:rPr>
          <w:rStyle w:val="FootnoteReference"/>
          <w:sz w:val="20"/>
          <w:szCs w:val="20"/>
        </w:rPr>
        <w:footnoteRef/>
      </w:r>
      <w:r w:rsidRPr="00A71986">
        <w:rPr>
          <w:sz w:val="20"/>
          <w:szCs w:val="20"/>
        </w:rPr>
        <w:t xml:space="preserve"> </w:t>
      </w:r>
      <w:hyperlink r:id="rId2" w:history="1">
        <w:r w:rsidRPr="00A71986">
          <w:rPr>
            <w:rStyle w:val="Hyperlink"/>
            <w:sz w:val="20"/>
            <w:szCs w:val="20"/>
          </w:rPr>
          <w:t>https://www.thelancet.com/journals/lancet/article/PIIS0140-6736(21)01824-9/fulltext</w:t>
        </w:r>
      </w:hyperlink>
      <w:r w:rsidRPr="00A71986">
        <w:rPr>
          <w:sz w:val="20"/>
          <w:szCs w:val="20"/>
        </w:rPr>
        <w:t xml:space="preserve"> </w:t>
      </w:r>
    </w:p>
  </w:footnote>
  <w:footnote w:id="4">
    <w:p w14:paraId="50159A35" w14:textId="320E908F" w:rsidR="00BE29A6" w:rsidRDefault="00BE29A6">
      <w:pPr>
        <w:pStyle w:val="FootnoteText"/>
      </w:pPr>
      <w:r w:rsidRPr="00A71986">
        <w:rPr>
          <w:rStyle w:val="FootnoteReference"/>
          <w:sz w:val="20"/>
          <w:szCs w:val="20"/>
        </w:rPr>
        <w:footnoteRef/>
      </w:r>
      <w:r w:rsidRPr="00A71986">
        <w:rPr>
          <w:sz w:val="20"/>
          <w:szCs w:val="20"/>
        </w:rPr>
        <w:t xml:space="preserve"> </w:t>
      </w:r>
      <w:hyperlink r:id="rId3" w:anchor="page46" w:history="1">
        <w:r w:rsidRPr="007D7DA8">
          <w:rPr>
            <w:rStyle w:val="Hyperlink"/>
            <w:sz w:val="20"/>
            <w:szCs w:val="20"/>
          </w:rPr>
          <w:t>https://www.fhi.ox.ac.uk/wp-content/uploads/GovAI-Agenda.pdf#page46</w:t>
        </w:r>
      </w:hyperlink>
      <w:r>
        <w:rPr>
          <w:sz w:val="20"/>
          <w:szCs w:val="20"/>
        </w:rPr>
        <w:t xml:space="preserve"> </w:t>
      </w:r>
    </w:p>
  </w:footnote>
  <w:footnote w:id="5">
    <w:p w14:paraId="0D6A026F" w14:textId="76E7550D" w:rsidR="00BE29A6" w:rsidRPr="0008303E" w:rsidRDefault="00BE29A6" w:rsidP="002F0EB6">
      <w:pPr>
        <w:shd w:val="clear" w:color="auto" w:fill="FFFFFF"/>
        <w:rPr>
          <w:rFonts w:ascii="Times New Roman" w:eastAsia="Times New Roman" w:hAnsi="Times New Roman" w:cs="Times New Roman"/>
          <w:sz w:val="22"/>
          <w:szCs w:val="22"/>
          <w:lang w:eastAsia="en-GB"/>
        </w:rPr>
      </w:pPr>
      <w:r w:rsidRPr="0008303E">
        <w:rPr>
          <w:rStyle w:val="FootnoteReference"/>
          <w:sz w:val="22"/>
          <w:szCs w:val="22"/>
        </w:rPr>
        <w:footnoteRef/>
      </w:r>
      <w:r w:rsidRPr="0008303E">
        <w:rPr>
          <w:sz w:val="22"/>
          <w:szCs w:val="22"/>
        </w:rPr>
        <w:t xml:space="preserve"> </w:t>
      </w:r>
      <w:r w:rsidRPr="0008303E">
        <w:rPr>
          <w:rFonts w:ascii="Times New Roman" w:eastAsia="Times New Roman" w:hAnsi="Times New Roman" w:cs="Times New Roman"/>
          <w:sz w:val="22"/>
          <w:szCs w:val="22"/>
          <w:lang w:eastAsia="en-GB"/>
        </w:rPr>
        <w:t>UN General Assembly. The right to privacy in the digital age: report of the United Nations High Commissioner for Human Rights. New York, NY: United Nations, 2018</w:t>
      </w:r>
    </w:p>
  </w:footnote>
  <w:footnote w:id="6">
    <w:p w14:paraId="39FCFE46" w14:textId="726CA072" w:rsidR="00BE29A6" w:rsidRPr="0008303E" w:rsidRDefault="00BE29A6" w:rsidP="002F0EB6">
      <w:pPr>
        <w:shd w:val="clear" w:color="auto" w:fill="FFFFFF"/>
        <w:rPr>
          <w:rFonts w:ascii="Times New Roman" w:eastAsia="Times New Roman" w:hAnsi="Times New Roman" w:cs="Times New Roman"/>
          <w:sz w:val="22"/>
          <w:szCs w:val="22"/>
          <w:lang w:eastAsia="en-GB"/>
        </w:rPr>
      </w:pPr>
      <w:r w:rsidRPr="0008303E">
        <w:rPr>
          <w:rStyle w:val="FootnoteReference"/>
          <w:sz w:val="22"/>
          <w:szCs w:val="22"/>
        </w:rPr>
        <w:footnoteRef/>
      </w:r>
      <w:r w:rsidRPr="0008303E">
        <w:rPr>
          <w:sz w:val="22"/>
          <w:szCs w:val="22"/>
        </w:rPr>
        <w:t xml:space="preserve"> </w:t>
      </w:r>
      <w:proofErr w:type="spellStart"/>
      <w:r w:rsidRPr="0008303E">
        <w:rPr>
          <w:rFonts w:ascii="Times New Roman" w:eastAsia="Times New Roman" w:hAnsi="Times New Roman" w:cs="Times New Roman"/>
          <w:sz w:val="22"/>
          <w:szCs w:val="22"/>
          <w:lang w:eastAsia="en-GB"/>
        </w:rPr>
        <w:t>Reinsel</w:t>
      </w:r>
      <w:proofErr w:type="spellEnd"/>
      <w:r w:rsidRPr="0008303E">
        <w:rPr>
          <w:rFonts w:ascii="Times New Roman" w:eastAsia="Times New Roman" w:hAnsi="Times New Roman" w:cs="Times New Roman"/>
          <w:sz w:val="22"/>
          <w:szCs w:val="22"/>
          <w:lang w:eastAsia="en-GB"/>
        </w:rPr>
        <w:t xml:space="preserve"> D, </w:t>
      </w:r>
      <w:proofErr w:type="spellStart"/>
      <w:r w:rsidRPr="0008303E">
        <w:rPr>
          <w:rFonts w:ascii="Times New Roman" w:eastAsia="Times New Roman" w:hAnsi="Times New Roman" w:cs="Times New Roman"/>
          <w:sz w:val="22"/>
          <w:szCs w:val="22"/>
          <w:lang w:eastAsia="en-GB"/>
        </w:rPr>
        <w:t>Gantz</w:t>
      </w:r>
      <w:proofErr w:type="spellEnd"/>
      <w:r w:rsidRPr="0008303E">
        <w:rPr>
          <w:rFonts w:ascii="Times New Roman" w:eastAsia="Times New Roman" w:hAnsi="Times New Roman" w:cs="Times New Roman"/>
          <w:sz w:val="22"/>
          <w:szCs w:val="22"/>
          <w:lang w:eastAsia="en-GB"/>
        </w:rPr>
        <w:t xml:space="preserve"> J, </w:t>
      </w:r>
      <w:proofErr w:type="spellStart"/>
      <w:r w:rsidRPr="0008303E">
        <w:rPr>
          <w:rFonts w:ascii="Times New Roman" w:eastAsia="Times New Roman" w:hAnsi="Times New Roman" w:cs="Times New Roman"/>
          <w:sz w:val="22"/>
          <w:szCs w:val="22"/>
          <w:lang w:eastAsia="en-GB"/>
        </w:rPr>
        <w:t>Rydning</w:t>
      </w:r>
      <w:proofErr w:type="spellEnd"/>
      <w:r w:rsidRPr="0008303E">
        <w:rPr>
          <w:rFonts w:ascii="Times New Roman" w:eastAsia="Times New Roman" w:hAnsi="Times New Roman" w:cs="Times New Roman"/>
          <w:sz w:val="22"/>
          <w:szCs w:val="22"/>
          <w:lang w:eastAsia="en-GB"/>
        </w:rPr>
        <w:t xml:space="preserve"> J. The digitization of the world: from edge to core. Framingham, MA: International Data Corporation, 2018.</w:t>
      </w:r>
    </w:p>
  </w:footnote>
  <w:footnote w:id="7">
    <w:p w14:paraId="7967B0CA" w14:textId="77777777" w:rsidR="00BE29A6" w:rsidRPr="0008303E" w:rsidRDefault="00BE29A6" w:rsidP="002F0EB6">
      <w:pPr>
        <w:shd w:val="clear" w:color="auto" w:fill="FFFFFF"/>
        <w:rPr>
          <w:rFonts w:ascii="Times New Roman" w:eastAsia="Times New Roman" w:hAnsi="Times New Roman" w:cs="Times New Roman"/>
          <w:sz w:val="22"/>
          <w:szCs w:val="22"/>
          <w:lang w:eastAsia="en-GB"/>
        </w:rPr>
      </w:pPr>
      <w:r w:rsidRPr="0008303E">
        <w:rPr>
          <w:rStyle w:val="FootnoteReference"/>
          <w:sz w:val="22"/>
          <w:szCs w:val="22"/>
        </w:rPr>
        <w:footnoteRef/>
      </w:r>
      <w:r w:rsidRPr="0008303E">
        <w:rPr>
          <w:sz w:val="22"/>
          <w:szCs w:val="22"/>
        </w:rPr>
        <w:t xml:space="preserve"> </w:t>
      </w:r>
      <w:proofErr w:type="spellStart"/>
      <w:r w:rsidRPr="0008303E">
        <w:rPr>
          <w:rFonts w:ascii="Times New Roman" w:eastAsia="Times New Roman" w:hAnsi="Times New Roman" w:cs="Times New Roman"/>
          <w:sz w:val="22"/>
          <w:szCs w:val="22"/>
          <w:lang w:eastAsia="en-GB"/>
        </w:rPr>
        <w:t>Vayena</w:t>
      </w:r>
      <w:proofErr w:type="spellEnd"/>
      <w:r w:rsidRPr="0008303E">
        <w:rPr>
          <w:rFonts w:ascii="Times New Roman" w:eastAsia="Times New Roman" w:hAnsi="Times New Roman" w:cs="Times New Roman"/>
          <w:sz w:val="22"/>
          <w:szCs w:val="22"/>
          <w:lang w:eastAsia="en-GB"/>
        </w:rPr>
        <w:t xml:space="preserve"> E, </w:t>
      </w:r>
      <w:proofErr w:type="spellStart"/>
      <w:r w:rsidRPr="0008303E">
        <w:rPr>
          <w:rFonts w:ascii="Times New Roman" w:eastAsia="Times New Roman" w:hAnsi="Times New Roman" w:cs="Times New Roman"/>
          <w:sz w:val="22"/>
          <w:szCs w:val="22"/>
          <w:lang w:eastAsia="en-GB"/>
        </w:rPr>
        <w:t>Haeusermann</w:t>
      </w:r>
      <w:proofErr w:type="spellEnd"/>
      <w:r w:rsidRPr="0008303E">
        <w:rPr>
          <w:rFonts w:ascii="Times New Roman" w:eastAsia="Times New Roman" w:hAnsi="Times New Roman" w:cs="Times New Roman"/>
          <w:sz w:val="22"/>
          <w:szCs w:val="22"/>
          <w:lang w:eastAsia="en-GB"/>
        </w:rPr>
        <w:t xml:space="preserve"> T, </w:t>
      </w:r>
      <w:proofErr w:type="spellStart"/>
      <w:r w:rsidRPr="0008303E">
        <w:rPr>
          <w:rFonts w:ascii="Times New Roman" w:eastAsia="Times New Roman" w:hAnsi="Times New Roman" w:cs="Times New Roman"/>
          <w:sz w:val="22"/>
          <w:szCs w:val="22"/>
          <w:lang w:eastAsia="en-GB"/>
        </w:rPr>
        <w:t>Adjekum</w:t>
      </w:r>
      <w:proofErr w:type="spellEnd"/>
      <w:r w:rsidRPr="0008303E">
        <w:rPr>
          <w:rFonts w:ascii="Times New Roman" w:eastAsia="Times New Roman" w:hAnsi="Times New Roman" w:cs="Times New Roman"/>
          <w:sz w:val="22"/>
          <w:szCs w:val="22"/>
          <w:lang w:eastAsia="en-GB"/>
        </w:rPr>
        <w:t xml:space="preserve"> A, </w:t>
      </w:r>
      <w:proofErr w:type="spellStart"/>
      <w:r w:rsidRPr="0008303E">
        <w:rPr>
          <w:rFonts w:ascii="Times New Roman" w:eastAsia="Times New Roman" w:hAnsi="Times New Roman" w:cs="Times New Roman"/>
          <w:sz w:val="22"/>
          <w:szCs w:val="22"/>
          <w:lang w:eastAsia="en-GB"/>
        </w:rPr>
        <w:t>Blasimme</w:t>
      </w:r>
      <w:proofErr w:type="spellEnd"/>
      <w:r w:rsidRPr="0008303E">
        <w:rPr>
          <w:rFonts w:ascii="Times New Roman" w:eastAsia="Times New Roman" w:hAnsi="Times New Roman" w:cs="Times New Roman"/>
          <w:sz w:val="22"/>
          <w:szCs w:val="22"/>
          <w:lang w:eastAsia="en-GB"/>
        </w:rPr>
        <w:t xml:space="preserve"> A. Digital health: meeting the ethical and policy challenges. Swiss Med Wkly 2018;148: w14571.</w:t>
      </w:r>
    </w:p>
  </w:footnote>
  <w:footnote w:id="8">
    <w:p w14:paraId="1C9846CE" w14:textId="511C49DD" w:rsidR="00BE29A6" w:rsidRPr="002F0EB6" w:rsidRDefault="00BE29A6" w:rsidP="002F0EB6">
      <w:pPr>
        <w:shd w:val="clear" w:color="auto" w:fill="FFFFFF"/>
        <w:rPr>
          <w:rFonts w:ascii="Times New Roman" w:eastAsia="Times New Roman" w:hAnsi="Times New Roman" w:cs="Times New Roman"/>
          <w:lang w:eastAsia="en-GB"/>
        </w:rPr>
      </w:pPr>
      <w:r w:rsidRPr="0008303E">
        <w:rPr>
          <w:rStyle w:val="FootnoteReference"/>
          <w:sz w:val="22"/>
          <w:szCs w:val="22"/>
        </w:rPr>
        <w:footnoteRef/>
      </w:r>
      <w:r w:rsidRPr="0008303E">
        <w:rPr>
          <w:sz w:val="22"/>
          <w:szCs w:val="22"/>
        </w:rPr>
        <w:t xml:space="preserve"> </w:t>
      </w:r>
      <w:proofErr w:type="spellStart"/>
      <w:r w:rsidRPr="0008303E">
        <w:rPr>
          <w:rFonts w:ascii="Times New Roman" w:eastAsia="Times New Roman" w:hAnsi="Times New Roman" w:cs="Times New Roman"/>
          <w:sz w:val="22"/>
          <w:szCs w:val="22"/>
          <w:lang w:eastAsia="en-GB"/>
        </w:rPr>
        <w:t>Adjekum</w:t>
      </w:r>
      <w:proofErr w:type="spellEnd"/>
      <w:r w:rsidRPr="0008303E">
        <w:rPr>
          <w:rFonts w:ascii="Times New Roman" w:eastAsia="Times New Roman" w:hAnsi="Times New Roman" w:cs="Times New Roman"/>
          <w:sz w:val="22"/>
          <w:szCs w:val="22"/>
          <w:lang w:eastAsia="en-GB"/>
        </w:rPr>
        <w:t xml:space="preserve"> A, </w:t>
      </w:r>
      <w:proofErr w:type="spellStart"/>
      <w:r w:rsidRPr="0008303E">
        <w:rPr>
          <w:rFonts w:ascii="Times New Roman" w:eastAsia="Times New Roman" w:hAnsi="Times New Roman" w:cs="Times New Roman"/>
          <w:sz w:val="22"/>
          <w:szCs w:val="22"/>
          <w:lang w:eastAsia="en-GB"/>
        </w:rPr>
        <w:t>Blasimme</w:t>
      </w:r>
      <w:proofErr w:type="spellEnd"/>
      <w:r w:rsidRPr="0008303E">
        <w:rPr>
          <w:rFonts w:ascii="Times New Roman" w:eastAsia="Times New Roman" w:hAnsi="Times New Roman" w:cs="Times New Roman"/>
          <w:sz w:val="22"/>
          <w:szCs w:val="22"/>
          <w:lang w:eastAsia="en-GB"/>
        </w:rPr>
        <w:t xml:space="preserve"> A, </w:t>
      </w:r>
      <w:proofErr w:type="spellStart"/>
      <w:r w:rsidRPr="0008303E">
        <w:rPr>
          <w:rFonts w:ascii="Times New Roman" w:eastAsia="Times New Roman" w:hAnsi="Times New Roman" w:cs="Times New Roman"/>
          <w:sz w:val="22"/>
          <w:szCs w:val="22"/>
          <w:lang w:eastAsia="en-GB"/>
        </w:rPr>
        <w:t>Vayena</w:t>
      </w:r>
      <w:proofErr w:type="spellEnd"/>
      <w:r w:rsidRPr="0008303E">
        <w:rPr>
          <w:rFonts w:ascii="Times New Roman" w:eastAsia="Times New Roman" w:hAnsi="Times New Roman" w:cs="Times New Roman"/>
          <w:sz w:val="22"/>
          <w:szCs w:val="22"/>
          <w:lang w:eastAsia="en-GB"/>
        </w:rPr>
        <w:t xml:space="preserve"> E. Elements of trust in digital health systems: scoping review. J Med Internet Res 2018; 20: e11254.</w:t>
      </w:r>
    </w:p>
  </w:footnote>
  <w:footnote w:id="9">
    <w:p w14:paraId="3B97A769" w14:textId="454A7315" w:rsidR="00BE29A6" w:rsidRPr="00C960FD" w:rsidRDefault="00BE29A6" w:rsidP="002F0EB6">
      <w:pPr>
        <w:pStyle w:val="FootnoteText"/>
        <w:rPr>
          <w:sz w:val="22"/>
          <w:szCs w:val="22"/>
          <w:lang w:val="en-US"/>
        </w:rPr>
      </w:pPr>
      <w:r>
        <w:rPr>
          <w:rStyle w:val="FootnoteReference"/>
        </w:rPr>
        <w:footnoteRef/>
      </w:r>
      <w:r>
        <w:t xml:space="preserve"> </w:t>
      </w:r>
      <w:r w:rsidRPr="00C960FD">
        <w:rPr>
          <w:rFonts w:ascii="Times New Roman" w:eastAsia="Times New Roman" w:hAnsi="Times New Roman" w:cs="Times New Roman"/>
          <w:sz w:val="22"/>
          <w:szCs w:val="22"/>
          <w:lang w:eastAsia="en-GB"/>
        </w:rPr>
        <w:t xml:space="preserve">Fitzgerald M, Crider C. </w:t>
      </w:r>
      <w:r w:rsidRPr="00C960FD">
        <w:rPr>
          <w:rFonts w:ascii="Times New Roman" w:eastAsia="Times New Roman" w:hAnsi="Times New Roman" w:cs="Times New Roman"/>
          <w:i/>
          <w:iCs/>
          <w:sz w:val="22"/>
          <w:szCs w:val="22"/>
          <w:lang w:eastAsia="en-GB"/>
        </w:rPr>
        <w:t>Controversial ‘spy tech’ firm Palantir lands £23m NHS data deal Exclusive: UK government sneaks through new COVID data contract, despite legal challenges.</w:t>
      </w:r>
      <w:r w:rsidRPr="00C960FD">
        <w:rPr>
          <w:rFonts w:ascii="Times New Roman" w:eastAsia="Times New Roman" w:hAnsi="Times New Roman" w:cs="Times New Roman"/>
          <w:sz w:val="22"/>
          <w:szCs w:val="22"/>
          <w:lang w:eastAsia="en-GB"/>
        </w:rPr>
        <w:t xml:space="preserve"> Open Democracy 21 December 2020</w:t>
      </w:r>
    </w:p>
  </w:footnote>
  <w:footnote w:id="10">
    <w:p w14:paraId="34786981" w14:textId="34EE85D0" w:rsidR="00BE29A6" w:rsidRPr="00FD249D" w:rsidRDefault="00BE29A6">
      <w:pPr>
        <w:pStyle w:val="FootnoteText"/>
        <w:rPr>
          <w:lang w:val="en-US"/>
        </w:rPr>
      </w:pPr>
      <w:r>
        <w:rPr>
          <w:rStyle w:val="FootnoteReference"/>
        </w:rPr>
        <w:footnoteRef/>
      </w:r>
      <w:r>
        <w:t xml:space="preserve"> </w:t>
      </w:r>
      <w:hyperlink r:id="rId4" w:history="1">
        <w:r w:rsidRPr="00E54991">
          <w:rPr>
            <w:rStyle w:val="Hyperlink"/>
          </w:rPr>
          <w:t>https://www.tussell.com/insights/covid?hsLang=en</w:t>
        </w:r>
      </w:hyperlink>
      <w:r>
        <w:t xml:space="preserve"> </w:t>
      </w:r>
    </w:p>
  </w:footnote>
  <w:footnote w:id="11">
    <w:p w14:paraId="22B339CB" w14:textId="6E028EF7" w:rsidR="00BE29A6" w:rsidRPr="006C0752" w:rsidRDefault="00BE29A6">
      <w:pPr>
        <w:pStyle w:val="FootnoteText"/>
        <w:rPr>
          <w:lang w:val="en-US"/>
        </w:rPr>
      </w:pPr>
      <w:r>
        <w:rPr>
          <w:rStyle w:val="FootnoteReference"/>
        </w:rPr>
        <w:footnoteRef/>
      </w:r>
      <w:r>
        <w:t xml:space="preserve"> </w:t>
      </w:r>
      <w:hyperlink r:id="rId5" w:history="1">
        <w:r w:rsidRPr="00E54991">
          <w:rPr>
            <w:rStyle w:val="Hyperlink"/>
          </w:rPr>
          <w:t>https://www.theguardian.com/politics/2021/nov/01/law-group-threatens-to-sue-over-immensa-covid-testing-scandal</w:t>
        </w:r>
      </w:hyperlink>
      <w:r>
        <w:t xml:space="preserve"> </w:t>
      </w:r>
    </w:p>
  </w:footnote>
  <w:footnote w:id="12">
    <w:p w14:paraId="25370577" w14:textId="77777777" w:rsidR="00BE29A6" w:rsidRPr="00D86ACF" w:rsidRDefault="00BE29A6" w:rsidP="0079114C">
      <w:pPr>
        <w:rPr>
          <w:rFonts w:ascii="Times New Roman" w:hAnsi="Times New Roman" w:cs="Times New Roman"/>
        </w:rPr>
      </w:pPr>
      <w:r>
        <w:rPr>
          <w:rStyle w:val="FootnoteReference"/>
        </w:rPr>
        <w:footnoteRef/>
      </w:r>
      <w:r>
        <w:t xml:space="preserve"> </w:t>
      </w:r>
      <w:r>
        <w:rPr>
          <w:rFonts w:ascii="Times New Roman" w:hAnsi="Times New Roman" w:cs="Times New Roman"/>
        </w:rPr>
        <w:t xml:space="preserve">Leys C. </w:t>
      </w:r>
      <w:r w:rsidRPr="00D86ACF">
        <w:rPr>
          <w:rFonts w:ascii="Times New Roman" w:hAnsi="Times New Roman" w:cs="Times New Roman"/>
          <w:i/>
          <w:iCs/>
        </w:rPr>
        <w:t>Private hospitals have no doctors</w:t>
      </w:r>
      <w:r>
        <w:rPr>
          <w:rFonts w:ascii="Times New Roman" w:hAnsi="Times New Roman" w:cs="Times New Roman"/>
        </w:rPr>
        <w:t>.</w:t>
      </w:r>
      <w:r w:rsidRPr="0070250E">
        <w:rPr>
          <w:rFonts w:ascii="Times New Roman" w:eastAsia="Times New Roman" w:hAnsi="Times New Roman" w:cs="Times New Roman"/>
          <w:color w:val="222222"/>
          <w:lang w:eastAsia="en-GB"/>
        </w:rPr>
        <w:t xml:space="preserve"> </w:t>
      </w:r>
      <w:r>
        <w:rPr>
          <w:rFonts w:ascii="Times New Roman" w:eastAsia="Times New Roman" w:hAnsi="Times New Roman" w:cs="Times New Roman"/>
          <w:color w:val="222222"/>
          <w:lang w:eastAsia="en-GB"/>
        </w:rPr>
        <w:t>Centre for Health and the Public Interest</w:t>
      </w:r>
      <w:r>
        <w:rPr>
          <w:rFonts w:ascii="Times New Roman" w:hAnsi="Times New Roman" w:cs="Times New Roman"/>
        </w:rPr>
        <w:t xml:space="preserve">  </w:t>
      </w:r>
      <w:r w:rsidRPr="002D1C70">
        <w:rPr>
          <w:rFonts w:ascii="Times New Roman" w:hAnsi="Times New Roman" w:cs="Times New Roman"/>
        </w:rPr>
        <w:t xml:space="preserve"> June 1, 2021</w:t>
      </w:r>
    </w:p>
    <w:p w14:paraId="208E5AA0" w14:textId="381BFFF4" w:rsidR="00BE29A6" w:rsidRPr="0079114C" w:rsidRDefault="00BE29A6">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69B2"/>
    <w:multiLevelType w:val="multilevel"/>
    <w:tmpl w:val="35DC8784"/>
    <w:lvl w:ilvl="0">
      <w:start w:val="2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A71FC"/>
    <w:multiLevelType w:val="hybridMultilevel"/>
    <w:tmpl w:val="58BA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85FC0"/>
    <w:multiLevelType w:val="hybridMultilevel"/>
    <w:tmpl w:val="38625216"/>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4927ED"/>
    <w:multiLevelType w:val="hybridMultilevel"/>
    <w:tmpl w:val="B806665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FC7B17"/>
    <w:multiLevelType w:val="multilevel"/>
    <w:tmpl w:val="07A468EE"/>
    <w:lvl w:ilvl="0">
      <w:start w:val="2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901966"/>
    <w:multiLevelType w:val="multilevel"/>
    <w:tmpl w:val="213A3392"/>
    <w:lvl w:ilvl="0">
      <w:start w:val="29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65107550"/>
    <w:multiLevelType w:val="hybridMultilevel"/>
    <w:tmpl w:val="E3108D82"/>
    <w:lvl w:ilvl="0" w:tplc="C5E813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D5838"/>
    <w:multiLevelType w:val="multilevel"/>
    <w:tmpl w:val="3898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2B"/>
    <w:rsid w:val="0000625F"/>
    <w:rsid w:val="000072EF"/>
    <w:rsid w:val="00035D88"/>
    <w:rsid w:val="00040C9D"/>
    <w:rsid w:val="000645E9"/>
    <w:rsid w:val="000669D1"/>
    <w:rsid w:val="000714B2"/>
    <w:rsid w:val="00071F95"/>
    <w:rsid w:val="0008303E"/>
    <w:rsid w:val="00093B3C"/>
    <w:rsid w:val="000A0C08"/>
    <w:rsid w:val="000A36E5"/>
    <w:rsid w:val="000B7305"/>
    <w:rsid w:val="000C603B"/>
    <w:rsid w:val="000D0AEC"/>
    <w:rsid w:val="0010768E"/>
    <w:rsid w:val="0013514A"/>
    <w:rsid w:val="00142C61"/>
    <w:rsid w:val="001437C6"/>
    <w:rsid w:val="00143CBC"/>
    <w:rsid w:val="0014442F"/>
    <w:rsid w:val="001669E4"/>
    <w:rsid w:val="00171AB4"/>
    <w:rsid w:val="00175012"/>
    <w:rsid w:val="00181568"/>
    <w:rsid w:val="001975C3"/>
    <w:rsid w:val="001A1D74"/>
    <w:rsid w:val="001A36A0"/>
    <w:rsid w:val="001A5934"/>
    <w:rsid w:val="001C4829"/>
    <w:rsid w:val="001D1EC3"/>
    <w:rsid w:val="001D2A66"/>
    <w:rsid w:val="001E0ACE"/>
    <w:rsid w:val="001E1875"/>
    <w:rsid w:val="001E79EC"/>
    <w:rsid w:val="00200A27"/>
    <w:rsid w:val="00210335"/>
    <w:rsid w:val="00245F09"/>
    <w:rsid w:val="00245F6E"/>
    <w:rsid w:val="00252154"/>
    <w:rsid w:val="002546DE"/>
    <w:rsid w:val="00264FA3"/>
    <w:rsid w:val="00275E3F"/>
    <w:rsid w:val="00283D2C"/>
    <w:rsid w:val="002932C0"/>
    <w:rsid w:val="0029533C"/>
    <w:rsid w:val="002A7728"/>
    <w:rsid w:val="002A7736"/>
    <w:rsid w:val="002B133D"/>
    <w:rsid w:val="002C7FAB"/>
    <w:rsid w:val="002E34B5"/>
    <w:rsid w:val="002E417C"/>
    <w:rsid w:val="002F0EB6"/>
    <w:rsid w:val="002F4826"/>
    <w:rsid w:val="00310520"/>
    <w:rsid w:val="00322F9B"/>
    <w:rsid w:val="003250D1"/>
    <w:rsid w:val="00341090"/>
    <w:rsid w:val="00350366"/>
    <w:rsid w:val="0035367F"/>
    <w:rsid w:val="0035619C"/>
    <w:rsid w:val="00365FFA"/>
    <w:rsid w:val="00381C80"/>
    <w:rsid w:val="00382B72"/>
    <w:rsid w:val="003877A1"/>
    <w:rsid w:val="00393BDA"/>
    <w:rsid w:val="00396CE4"/>
    <w:rsid w:val="003D3D41"/>
    <w:rsid w:val="003E77E2"/>
    <w:rsid w:val="004042A0"/>
    <w:rsid w:val="00420379"/>
    <w:rsid w:val="00427B92"/>
    <w:rsid w:val="004372C1"/>
    <w:rsid w:val="00453062"/>
    <w:rsid w:val="00461F15"/>
    <w:rsid w:val="004A169A"/>
    <w:rsid w:val="004A55F6"/>
    <w:rsid w:val="004C4DA7"/>
    <w:rsid w:val="004C58A1"/>
    <w:rsid w:val="00502A69"/>
    <w:rsid w:val="00512317"/>
    <w:rsid w:val="005123A0"/>
    <w:rsid w:val="00517277"/>
    <w:rsid w:val="005255E3"/>
    <w:rsid w:val="00544145"/>
    <w:rsid w:val="00544E6C"/>
    <w:rsid w:val="0054514E"/>
    <w:rsid w:val="00547DB1"/>
    <w:rsid w:val="005519F5"/>
    <w:rsid w:val="00555B45"/>
    <w:rsid w:val="00565416"/>
    <w:rsid w:val="00575B78"/>
    <w:rsid w:val="005D1125"/>
    <w:rsid w:val="005D7848"/>
    <w:rsid w:val="005E2CF3"/>
    <w:rsid w:val="005E596E"/>
    <w:rsid w:val="005E637B"/>
    <w:rsid w:val="005F31C6"/>
    <w:rsid w:val="005F5959"/>
    <w:rsid w:val="0060193C"/>
    <w:rsid w:val="00611D89"/>
    <w:rsid w:val="00627502"/>
    <w:rsid w:val="00627D04"/>
    <w:rsid w:val="006367A4"/>
    <w:rsid w:val="006434EB"/>
    <w:rsid w:val="006462A6"/>
    <w:rsid w:val="00653DD3"/>
    <w:rsid w:val="00663393"/>
    <w:rsid w:val="00673912"/>
    <w:rsid w:val="00673A0A"/>
    <w:rsid w:val="006A080C"/>
    <w:rsid w:val="006B329D"/>
    <w:rsid w:val="006C0752"/>
    <w:rsid w:val="006E433C"/>
    <w:rsid w:val="006F7E5B"/>
    <w:rsid w:val="0072067A"/>
    <w:rsid w:val="007245A8"/>
    <w:rsid w:val="00724EF3"/>
    <w:rsid w:val="00740DDB"/>
    <w:rsid w:val="007464EA"/>
    <w:rsid w:val="00754112"/>
    <w:rsid w:val="0076304E"/>
    <w:rsid w:val="0078012C"/>
    <w:rsid w:val="0079114C"/>
    <w:rsid w:val="00797E69"/>
    <w:rsid w:val="007A2452"/>
    <w:rsid w:val="007C52EB"/>
    <w:rsid w:val="007D10C5"/>
    <w:rsid w:val="007E2E7B"/>
    <w:rsid w:val="007E6BA5"/>
    <w:rsid w:val="007F0EE5"/>
    <w:rsid w:val="0080329C"/>
    <w:rsid w:val="00803B65"/>
    <w:rsid w:val="00813B3A"/>
    <w:rsid w:val="00817869"/>
    <w:rsid w:val="008674C7"/>
    <w:rsid w:val="00877B9E"/>
    <w:rsid w:val="008B402B"/>
    <w:rsid w:val="008B45E3"/>
    <w:rsid w:val="008C0C3F"/>
    <w:rsid w:val="008C4190"/>
    <w:rsid w:val="008E68C0"/>
    <w:rsid w:val="008F405C"/>
    <w:rsid w:val="008F65E2"/>
    <w:rsid w:val="00913FDE"/>
    <w:rsid w:val="009216CD"/>
    <w:rsid w:val="00937F94"/>
    <w:rsid w:val="0094036E"/>
    <w:rsid w:val="00950939"/>
    <w:rsid w:val="009734EC"/>
    <w:rsid w:val="00976F97"/>
    <w:rsid w:val="00987194"/>
    <w:rsid w:val="0099442B"/>
    <w:rsid w:val="00996757"/>
    <w:rsid w:val="009A07EC"/>
    <w:rsid w:val="009B206C"/>
    <w:rsid w:val="009B2246"/>
    <w:rsid w:val="009B6D44"/>
    <w:rsid w:val="009D58EF"/>
    <w:rsid w:val="00A13C61"/>
    <w:rsid w:val="00A24D32"/>
    <w:rsid w:val="00A4030F"/>
    <w:rsid w:val="00A62B05"/>
    <w:rsid w:val="00A71986"/>
    <w:rsid w:val="00A87FE2"/>
    <w:rsid w:val="00AA2528"/>
    <w:rsid w:val="00AA2F42"/>
    <w:rsid w:val="00AB40C4"/>
    <w:rsid w:val="00AB48FE"/>
    <w:rsid w:val="00AC5F74"/>
    <w:rsid w:val="00AC7A01"/>
    <w:rsid w:val="00AF45EB"/>
    <w:rsid w:val="00AF6510"/>
    <w:rsid w:val="00B029CF"/>
    <w:rsid w:val="00B0575C"/>
    <w:rsid w:val="00B1291B"/>
    <w:rsid w:val="00B20648"/>
    <w:rsid w:val="00B27AC8"/>
    <w:rsid w:val="00B30927"/>
    <w:rsid w:val="00B32205"/>
    <w:rsid w:val="00B4266F"/>
    <w:rsid w:val="00B42D0A"/>
    <w:rsid w:val="00B456EE"/>
    <w:rsid w:val="00B74CED"/>
    <w:rsid w:val="00B971D7"/>
    <w:rsid w:val="00BC59D7"/>
    <w:rsid w:val="00BE29A6"/>
    <w:rsid w:val="00BE4AAA"/>
    <w:rsid w:val="00C13523"/>
    <w:rsid w:val="00C245AC"/>
    <w:rsid w:val="00C54090"/>
    <w:rsid w:val="00C65E00"/>
    <w:rsid w:val="00C83078"/>
    <w:rsid w:val="00C84A4C"/>
    <w:rsid w:val="00C864AC"/>
    <w:rsid w:val="00C921C2"/>
    <w:rsid w:val="00C92BD5"/>
    <w:rsid w:val="00C960FD"/>
    <w:rsid w:val="00CE77B8"/>
    <w:rsid w:val="00CF4022"/>
    <w:rsid w:val="00D0546F"/>
    <w:rsid w:val="00D07D9B"/>
    <w:rsid w:val="00D10490"/>
    <w:rsid w:val="00D11D2B"/>
    <w:rsid w:val="00D134A9"/>
    <w:rsid w:val="00D176ED"/>
    <w:rsid w:val="00D310CE"/>
    <w:rsid w:val="00D40417"/>
    <w:rsid w:val="00D436E9"/>
    <w:rsid w:val="00D46CF0"/>
    <w:rsid w:val="00D57440"/>
    <w:rsid w:val="00D6722A"/>
    <w:rsid w:val="00D7568B"/>
    <w:rsid w:val="00D85D98"/>
    <w:rsid w:val="00D95F06"/>
    <w:rsid w:val="00DB3701"/>
    <w:rsid w:val="00DB7285"/>
    <w:rsid w:val="00DC1EE5"/>
    <w:rsid w:val="00DD1625"/>
    <w:rsid w:val="00DD4105"/>
    <w:rsid w:val="00DF108A"/>
    <w:rsid w:val="00E02A94"/>
    <w:rsid w:val="00E933CD"/>
    <w:rsid w:val="00EA1200"/>
    <w:rsid w:val="00EB3E63"/>
    <w:rsid w:val="00EC5C12"/>
    <w:rsid w:val="00ED1B9B"/>
    <w:rsid w:val="00EF2580"/>
    <w:rsid w:val="00F06001"/>
    <w:rsid w:val="00F1016B"/>
    <w:rsid w:val="00F1129A"/>
    <w:rsid w:val="00F60CFB"/>
    <w:rsid w:val="00FA15B7"/>
    <w:rsid w:val="00FB5EB7"/>
    <w:rsid w:val="00FC2BCD"/>
    <w:rsid w:val="00FD1D5C"/>
    <w:rsid w:val="00FD249D"/>
    <w:rsid w:val="00FF42FF"/>
    <w:rsid w:val="00FF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AA6E5"/>
  <w14:defaultImageDpi w14:val="300"/>
  <w15:docId w15:val="{FEC0E63A-B850-9641-92FD-D010CFCD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4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42B"/>
    <w:pPr>
      <w:ind w:left="720"/>
      <w:contextualSpacing/>
    </w:pPr>
  </w:style>
  <w:style w:type="paragraph" w:styleId="FootnoteText">
    <w:name w:val="footnote text"/>
    <w:basedOn w:val="Normal"/>
    <w:link w:val="FootnoteTextChar"/>
    <w:uiPriority w:val="99"/>
    <w:unhideWhenUsed/>
    <w:rsid w:val="00264FA3"/>
  </w:style>
  <w:style w:type="character" w:customStyle="1" w:styleId="FootnoteTextChar">
    <w:name w:val="Footnote Text Char"/>
    <w:basedOn w:val="DefaultParagraphFont"/>
    <w:link w:val="FootnoteText"/>
    <w:uiPriority w:val="99"/>
    <w:rsid w:val="00264FA3"/>
    <w:rPr>
      <w:lang w:val="en-GB"/>
    </w:rPr>
  </w:style>
  <w:style w:type="character" w:styleId="FootnoteReference">
    <w:name w:val="footnote reference"/>
    <w:basedOn w:val="DefaultParagraphFont"/>
    <w:uiPriority w:val="99"/>
    <w:unhideWhenUsed/>
    <w:rsid w:val="00264FA3"/>
    <w:rPr>
      <w:vertAlign w:val="superscript"/>
    </w:rPr>
  </w:style>
  <w:style w:type="character" w:customStyle="1" w:styleId="apple-converted-space">
    <w:name w:val="apple-converted-space"/>
    <w:basedOn w:val="DefaultParagraphFont"/>
    <w:rsid w:val="00DD4105"/>
  </w:style>
  <w:style w:type="character" w:styleId="Hyperlink">
    <w:name w:val="Hyperlink"/>
    <w:basedOn w:val="DefaultParagraphFont"/>
    <w:uiPriority w:val="99"/>
    <w:unhideWhenUsed/>
    <w:rsid w:val="00142C61"/>
    <w:rPr>
      <w:color w:val="0000FF" w:themeColor="hyperlink"/>
      <w:u w:val="single"/>
    </w:rPr>
  </w:style>
  <w:style w:type="paragraph" w:styleId="NormalWeb">
    <w:name w:val="Normal (Web)"/>
    <w:basedOn w:val="Normal"/>
    <w:uiPriority w:val="99"/>
    <w:unhideWhenUsed/>
    <w:rsid w:val="00A87FE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996757"/>
    <w:rPr>
      <w:color w:val="800080" w:themeColor="followedHyperlink"/>
      <w:u w:val="single"/>
    </w:rPr>
  </w:style>
  <w:style w:type="paragraph" w:styleId="Footer">
    <w:name w:val="footer"/>
    <w:basedOn w:val="Normal"/>
    <w:link w:val="FooterChar"/>
    <w:uiPriority w:val="99"/>
    <w:unhideWhenUsed/>
    <w:rsid w:val="00B74CED"/>
    <w:pPr>
      <w:tabs>
        <w:tab w:val="center" w:pos="4320"/>
        <w:tab w:val="right" w:pos="8640"/>
      </w:tabs>
    </w:pPr>
  </w:style>
  <w:style w:type="character" w:customStyle="1" w:styleId="FooterChar">
    <w:name w:val="Footer Char"/>
    <w:basedOn w:val="DefaultParagraphFont"/>
    <w:link w:val="Footer"/>
    <w:uiPriority w:val="99"/>
    <w:rsid w:val="00B74CED"/>
    <w:rPr>
      <w:lang w:val="en-GB"/>
    </w:rPr>
  </w:style>
  <w:style w:type="character" w:styleId="PageNumber">
    <w:name w:val="page number"/>
    <w:basedOn w:val="DefaultParagraphFont"/>
    <w:uiPriority w:val="99"/>
    <w:semiHidden/>
    <w:unhideWhenUsed/>
    <w:rsid w:val="00B74CED"/>
  </w:style>
  <w:style w:type="character" w:customStyle="1" w:styleId="UnresolvedMention1">
    <w:name w:val="Unresolved Mention1"/>
    <w:basedOn w:val="DefaultParagraphFont"/>
    <w:uiPriority w:val="99"/>
    <w:semiHidden/>
    <w:unhideWhenUsed/>
    <w:rsid w:val="00FB5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086">
      <w:bodyDiv w:val="1"/>
      <w:marLeft w:val="0"/>
      <w:marRight w:val="0"/>
      <w:marTop w:val="0"/>
      <w:marBottom w:val="0"/>
      <w:divBdr>
        <w:top w:val="none" w:sz="0" w:space="0" w:color="auto"/>
        <w:left w:val="none" w:sz="0" w:space="0" w:color="auto"/>
        <w:bottom w:val="none" w:sz="0" w:space="0" w:color="auto"/>
        <w:right w:val="none" w:sz="0" w:space="0" w:color="auto"/>
      </w:divBdr>
      <w:divsChild>
        <w:div w:id="540946342">
          <w:marLeft w:val="0"/>
          <w:marRight w:val="0"/>
          <w:marTop w:val="0"/>
          <w:marBottom w:val="0"/>
          <w:divBdr>
            <w:top w:val="none" w:sz="0" w:space="0" w:color="auto"/>
            <w:left w:val="none" w:sz="0" w:space="0" w:color="auto"/>
            <w:bottom w:val="none" w:sz="0" w:space="0" w:color="auto"/>
            <w:right w:val="none" w:sz="0" w:space="0" w:color="auto"/>
          </w:divBdr>
          <w:divsChild>
            <w:div w:id="1748266680">
              <w:marLeft w:val="0"/>
              <w:marRight w:val="0"/>
              <w:marTop w:val="0"/>
              <w:marBottom w:val="0"/>
              <w:divBdr>
                <w:top w:val="none" w:sz="0" w:space="0" w:color="auto"/>
                <w:left w:val="none" w:sz="0" w:space="0" w:color="auto"/>
                <w:bottom w:val="none" w:sz="0" w:space="0" w:color="auto"/>
                <w:right w:val="none" w:sz="0" w:space="0" w:color="auto"/>
              </w:divBdr>
              <w:divsChild>
                <w:div w:id="5736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264">
      <w:bodyDiv w:val="1"/>
      <w:marLeft w:val="0"/>
      <w:marRight w:val="0"/>
      <w:marTop w:val="0"/>
      <w:marBottom w:val="0"/>
      <w:divBdr>
        <w:top w:val="none" w:sz="0" w:space="0" w:color="auto"/>
        <w:left w:val="none" w:sz="0" w:space="0" w:color="auto"/>
        <w:bottom w:val="none" w:sz="0" w:space="0" w:color="auto"/>
        <w:right w:val="none" w:sz="0" w:space="0" w:color="auto"/>
      </w:divBdr>
    </w:div>
    <w:div w:id="52628358">
      <w:bodyDiv w:val="1"/>
      <w:marLeft w:val="0"/>
      <w:marRight w:val="0"/>
      <w:marTop w:val="0"/>
      <w:marBottom w:val="0"/>
      <w:divBdr>
        <w:top w:val="none" w:sz="0" w:space="0" w:color="auto"/>
        <w:left w:val="none" w:sz="0" w:space="0" w:color="auto"/>
        <w:bottom w:val="none" w:sz="0" w:space="0" w:color="auto"/>
        <w:right w:val="none" w:sz="0" w:space="0" w:color="auto"/>
      </w:divBdr>
    </w:div>
    <w:div w:id="123623785">
      <w:bodyDiv w:val="1"/>
      <w:marLeft w:val="0"/>
      <w:marRight w:val="0"/>
      <w:marTop w:val="0"/>
      <w:marBottom w:val="0"/>
      <w:divBdr>
        <w:top w:val="none" w:sz="0" w:space="0" w:color="auto"/>
        <w:left w:val="none" w:sz="0" w:space="0" w:color="auto"/>
        <w:bottom w:val="none" w:sz="0" w:space="0" w:color="auto"/>
        <w:right w:val="none" w:sz="0" w:space="0" w:color="auto"/>
      </w:divBdr>
    </w:div>
    <w:div w:id="133371309">
      <w:bodyDiv w:val="1"/>
      <w:marLeft w:val="0"/>
      <w:marRight w:val="0"/>
      <w:marTop w:val="0"/>
      <w:marBottom w:val="0"/>
      <w:divBdr>
        <w:top w:val="none" w:sz="0" w:space="0" w:color="auto"/>
        <w:left w:val="none" w:sz="0" w:space="0" w:color="auto"/>
        <w:bottom w:val="none" w:sz="0" w:space="0" w:color="auto"/>
        <w:right w:val="none" w:sz="0" w:space="0" w:color="auto"/>
      </w:divBdr>
    </w:div>
    <w:div w:id="200869365">
      <w:bodyDiv w:val="1"/>
      <w:marLeft w:val="0"/>
      <w:marRight w:val="0"/>
      <w:marTop w:val="0"/>
      <w:marBottom w:val="0"/>
      <w:divBdr>
        <w:top w:val="none" w:sz="0" w:space="0" w:color="auto"/>
        <w:left w:val="none" w:sz="0" w:space="0" w:color="auto"/>
        <w:bottom w:val="none" w:sz="0" w:space="0" w:color="auto"/>
        <w:right w:val="none" w:sz="0" w:space="0" w:color="auto"/>
      </w:divBdr>
    </w:div>
    <w:div w:id="269750898">
      <w:bodyDiv w:val="1"/>
      <w:marLeft w:val="0"/>
      <w:marRight w:val="0"/>
      <w:marTop w:val="0"/>
      <w:marBottom w:val="0"/>
      <w:divBdr>
        <w:top w:val="none" w:sz="0" w:space="0" w:color="auto"/>
        <w:left w:val="none" w:sz="0" w:space="0" w:color="auto"/>
        <w:bottom w:val="none" w:sz="0" w:space="0" w:color="auto"/>
        <w:right w:val="none" w:sz="0" w:space="0" w:color="auto"/>
      </w:divBdr>
    </w:div>
    <w:div w:id="462888981">
      <w:bodyDiv w:val="1"/>
      <w:marLeft w:val="0"/>
      <w:marRight w:val="0"/>
      <w:marTop w:val="0"/>
      <w:marBottom w:val="0"/>
      <w:divBdr>
        <w:top w:val="none" w:sz="0" w:space="0" w:color="auto"/>
        <w:left w:val="none" w:sz="0" w:space="0" w:color="auto"/>
        <w:bottom w:val="none" w:sz="0" w:space="0" w:color="auto"/>
        <w:right w:val="none" w:sz="0" w:space="0" w:color="auto"/>
      </w:divBdr>
    </w:div>
    <w:div w:id="492569319">
      <w:bodyDiv w:val="1"/>
      <w:marLeft w:val="0"/>
      <w:marRight w:val="0"/>
      <w:marTop w:val="0"/>
      <w:marBottom w:val="0"/>
      <w:divBdr>
        <w:top w:val="none" w:sz="0" w:space="0" w:color="auto"/>
        <w:left w:val="none" w:sz="0" w:space="0" w:color="auto"/>
        <w:bottom w:val="none" w:sz="0" w:space="0" w:color="auto"/>
        <w:right w:val="none" w:sz="0" w:space="0" w:color="auto"/>
      </w:divBdr>
    </w:div>
    <w:div w:id="682434935">
      <w:bodyDiv w:val="1"/>
      <w:marLeft w:val="0"/>
      <w:marRight w:val="0"/>
      <w:marTop w:val="0"/>
      <w:marBottom w:val="0"/>
      <w:divBdr>
        <w:top w:val="none" w:sz="0" w:space="0" w:color="auto"/>
        <w:left w:val="none" w:sz="0" w:space="0" w:color="auto"/>
        <w:bottom w:val="none" w:sz="0" w:space="0" w:color="auto"/>
        <w:right w:val="none" w:sz="0" w:space="0" w:color="auto"/>
      </w:divBdr>
    </w:div>
    <w:div w:id="707991559">
      <w:bodyDiv w:val="1"/>
      <w:marLeft w:val="0"/>
      <w:marRight w:val="0"/>
      <w:marTop w:val="0"/>
      <w:marBottom w:val="0"/>
      <w:divBdr>
        <w:top w:val="none" w:sz="0" w:space="0" w:color="auto"/>
        <w:left w:val="none" w:sz="0" w:space="0" w:color="auto"/>
        <w:bottom w:val="none" w:sz="0" w:space="0" w:color="auto"/>
        <w:right w:val="none" w:sz="0" w:space="0" w:color="auto"/>
      </w:divBdr>
      <w:divsChild>
        <w:div w:id="1427537670">
          <w:marLeft w:val="0"/>
          <w:marRight w:val="0"/>
          <w:marTop w:val="0"/>
          <w:marBottom w:val="0"/>
          <w:divBdr>
            <w:top w:val="none" w:sz="0" w:space="0" w:color="auto"/>
            <w:left w:val="none" w:sz="0" w:space="0" w:color="auto"/>
            <w:bottom w:val="none" w:sz="0" w:space="0" w:color="auto"/>
            <w:right w:val="none" w:sz="0" w:space="0" w:color="auto"/>
          </w:divBdr>
          <w:divsChild>
            <w:div w:id="371536608">
              <w:marLeft w:val="0"/>
              <w:marRight w:val="0"/>
              <w:marTop w:val="0"/>
              <w:marBottom w:val="0"/>
              <w:divBdr>
                <w:top w:val="none" w:sz="0" w:space="0" w:color="auto"/>
                <w:left w:val="none" w:sz="0" w:space="0" w:color="auto"/>
                <w:bottom w:val="none" w:sz="0" w:space="0" w:color="auto"/>
                <w:right w:val="none" w:sz="0" w:space="0" w:color="auto"/>
              </w:divBdr>
              <w:divsChild>
                <w:div w:id="16720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82385">
      <w:bodyDiv w:val="1"/>
      <w:marLeft w:val="0"/>
      <w:marRight w:val="0"/>
      <w:marTop w:val="0"/>
      <w:marBottom w:val="0"/>
      <w:divBdr>
        <w:top w:val="none" w:sz="0" w:space="0" w:color="auto"/>
        <w:left w:val="none" w:sz="0" w:space="0" w:color="auto"/>
        <w:bottom w:val="none" w:sz="0" w:space="0" w:color="auto"/>
        <w:right w:val="none" w:sz="0" w:space="0" w:color="auto"/>
      </w:divBdr>
    </w:div>
    <w:div w:id="876510158">
      <w:bodyDiv w:val="1"/>
      <w:marLeft w:val="0"/>
      <w:marRight w:val="0"/>
      <w:marTop w:val="0"/>
      <w:marBottom w:val="0"/>
      <w:divBdr>
        <w:top w:val="none" w:sz="0" w:space="0" w:color="auto"/>
        <w:left w:val="none" w:sz="0" w:space="0" w:color="auto"/>
        <w:bottom w:val="none" w:sz="0" w:space="0" w:color="auto"/>
        <w:right w:val="none" w:sz="0" w:space="0" w:color="auto"/>
      </w:divBdr>
    </w:div>
    <w:div w:id="1184708849">
      <w:bodyDiv w:val="1"/>
      <w:marLeft w:val="0"/>
      <w:marRight w:val="0"/>
      <w:marTop w:val="0"/>
      <w:marBottom w:val="0"/>
      <w:divBdr>
        <w:top w:val="none" w:sz="0" w:space="0" w:color="auto"/>
        <w:left w:val="none" w:sz="0" w:space="0" w:color="auto"/>
        <w:bottom w:val="none" w:sz="0" w:space="0" w:color="auto"/>
        <w:right w:val="none" w:sz="0" w:space="0" w:color="auto"/>
      </w:divBdr>
    </w:div>
    <w:div w:id="1235237858">
      <w:bodyDiv w:val="1"/>
      <w:marLeft w:val="0"/>
      <w:marRight w:val="0"/>
      <w:marTop w:val="0"/>
      <w:marBottom w:val="0"/>
      <w:divBdr>
        <w:top w:val="none" w:sz="0" w:space="0" w:color="auto"/>
        <w:left w:val="none" w:sz="0" w:space="0" w:color="auto"/>
        <w:bottom w:val="none" w:sz="0" w:space="0" w:color="auto"/>
        <w:right w:val="none" w:sz="0" w:space="0" w:color="auto"/>
      </w:divBdr>
    </w:div>
    <w:div w:id="1327588623">
      <w:bodyDiv w:val="1"/>
      <w:marLeft w:val="0"/>
      <w:marRight w:val="0"/>
      <w:marTop w:val="0"/>
      <w:marBottom w:val="0"/>
      <w:divBdr>
        <w:top w:val="none" w:sz="0" w:space="0" w:color="auto"/>
        <w:left w:val="none" w:sz="0" w:space="0" w:color="auto"/>
        <w:bottom w:val="none" w:sz="0" w:space="0" w:color="auto"/>
        <w:right w:val="none" w:sz="0" w:space="0" w:color="auto"/>
      </w:divBdr>
    </w:div>
    <w:div w:id="1394543284">
      <w:bodyDiv w:val="1"/>
      <w:marLeft w:val="0"/>
      <w:marRight w:val="0"/>
      <w:marTop w:val="0"/>
      <w:marBottom w:val="0"/>
      <w:divBdr>
        <w:top w:val="none" w:sz="0" w:space="0" w:color="auto"/>
        <w:left w:val="none" w:sz="0" w:space="0" w:color="auto"/>
        <w:bottom w:val="none" w:sz="0" w:space="0" w:color="auto"/>
        <w:right w:val="none" w:sz="0" w:space="0" w:color="auto"/>
      </w:divBdr>
    </w:div>
    <w:div w:id="1501387583">
      <w:bodyDiv w:val="1"/>
      <w:marLeft w:val="0"/>
      <w:marRight w:val="0"/>
      <w:marTop w:val="0"/>
      <w:marBottom w:val="0"/>
      <w:divBdr>
        <w:top w:val="none" w:sz="0" w:space="0" w:color="auto"/>
        <w:left w:val="none" w:sz="0" w:space="0" w:color="auto"/>
        <w:bottom w:val="none" w:sz="0" w:space="0" w:color="auto"/>
        <w:right w:val="none" w:sz="0" w:space="0" w:color="auto"/>
      </w:divBdr>
      <w:divsChild>
        <w:div w:id="646782603">
          <w:marLeft w:val="0"/>
          <w:marRight w:val="0"/>
          <w:marTop w:val="0"/>
          <w:marBottom w:val="0"/>
          <w:divBdr>
            <w:top w:val="none" w:sz="0" w:space="0" w:color="auto"/>
            <w:left w:val="none" w:sz="0" w:space="0" w:color="auto"/>
            <w:bottom w:val="none" w:sz="0" w:space="0" w:color="auto"/>
            <w:right w:val="none" w:sz="0" w:space="0" w:color="auto"/>
          </w:divBdr>
          <w:divsChild>
            <w:div w:id="489716695">
              <w:marLeft w:val="0"/>
              <w:marRight w:val="0"/>
              <w:marTop w:val="0"/>
              <w:marBottom w:val="0"/>
              <w:divBdr>
                <w:top w:val="none" w:sz="0" w:space="0" w:color="auto"/>
                <w:left w:val="none" w:sz="0" w:space="0" w:color="auto"/>
                <w:bottom w:val="none" w:sz="0" w:space="0" w:color="auto"/>
                <w:right w:val="none" w:sz="0" w:space="0" w:color="auto"/>
              </w:divBdr>
              <w:divsChild>
                <w:div w:id="21453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77829">
      <w:bodyDiv w:val="1"/>
      <w:marLeft w:val="0"/>
      <w:marRight w:val="0"/>
      <w:marTop w:val="0"/>
      <w:marBottom w:val="0"/>
      <w:divBdr>
        <w:top w:val="none" w:sz="0" w:space="0" w:color="auto"/>
        <w:left w:val="none" w:sz="0" w:space="0" w:color="auto"/>
        <w:bottom w:val="none" w:sz="0" w:space="0" w:color="auto"/>
        <w:right w:val="none" w:sz="0" w:space="0" w:color="auto"/>
      </w:divBdr>
    </w:div>
    <w:div w:id="1722747842">
      <w:bodyDiv w:val="1"/>
      <w:marLeft w:val="0"/>
      <w:marRight w:val="0"/>
      <w:marTop w:val="0"/>
      <w:marBottom w:val="0"/>
      <w:divBdr>
        <w:top w:val="none" w:sz="0" w:space="0" w:color="auto"/>
        <w:left w:val="none" w:sz="0" w:space="0" w:color="auto"/>
        <w:bottom w:val="none" w:sz="0" w:space="0" w:color="auto"/>
        <w:right w:val="none" w:sz="0" w:space="0" w:color="auto"/>
      </w:divBdr>
      <w:divsChild>
        <w:div w:id="295570756">
          <w:marLeft w:val="0"/>
          <w:marRight w:val="0"/>
          <w:marTop w:val="0"/>
          <w:marBottom w:val="0"/>
          <w:divBdr>
            <w:top w:val="none" w:sz="0" w:space="0" w:color="auto"/>
            <w:left w:val="none" w:sz="0" w:space="0" w:color="auto"/>
            <w:bottom w:val="none" w:sz="0" w:space="0" w:color="auto"/>
            <w:right w:val="none" w:sz="0" w:space="0" w:color="auto"/>
          </w:divBdr>
          <w:divsChild>
            <w:div w:id="104232061">
              <w:marLeft w:val="0"/>
              <w:marRight w:val="0"/>
              <w:marTop w:val="0"/>
              <w:marBottom w:val="0"/>
              <w:divBdr>
                <w:top w:val="none" w:sz="0" w:space="0" w:color="auto"/>
                <w:left w:val="none" w:sz="0" w:space="0" w:color="auto"/>
                <w:bottom w:val="none" w:sz="0" w:space="0" w:color="auto"/>
                <w:right w:val="none" w:sz="0" w:space="0" w:color="auto"/>
              </w:divBdr>
              <w:divsChild>
                <w:div w:id="6784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72165">
      <w:bodyDiv w:val="1"/>
      <w:marLeft w:val="0"/>
      <w:marRight w:val="0"/>
      <w:marTop w:val="0"/>
      <w:marBottom w:val="0"/>
      <w:divBdr>
        <w:top w:val="none" w:sz="0" w:space="0" w:color="auto"/>
        <w:left w:val="none" w:sz="0" w:space="0" w:color="auto"/>
        <w:bottom w:val="none" w:sz="0" w:space="0" w:color="auto"/>
        <w:right w:val="none" w:sz="0" w:space="0" w:color="auto"/>
      </w:divBdr>
      <w:divsChild>
        <w:div w:id="487523878">
          <w:marLeft w:val="0"/>
          <w:marRight w:val="0"/>
          <w:marTop w:val="0"/>
          <w:marBottom w:val="0"/>
          <w:divBdr>
            <w:top w:val="none" w:sz="0" w:space="0" w:color="auto"/>
            <w:left w:val="none" w:sz="0" w:space="0" w:color="auto"/>
            <w:bottom w:val="none" w:sz="0" w:space="0" w:color="auto"/>
            <w:right w:val="none" w:sz="0" w:space="0" w:color="auto"/>
          </w:divBdr>
          <w:divsChild>
            <w:div w:id="1992055315">
              <w:marLeft w:val="0"/>
              <w:marRight w:val="0"/>
              <w:marTop w:val="0"/>
              <w:marBottom w:val="0"/>
              <w:divBdr>
                <w:top w:val="none" w:sz="0" w:space="0" w:color="auto"/>
                <w:left w:val="none" w:sz="0" w:space="0" w:color="auto"/>
                <w:bottom w:val="none" w:sz="0" w:space="0" w:color="auto"/>
                <w:right w:val="none" w:sz="0" w:space="0" w:color="auto"/>
              </w:divBdr>
              <w:divsChild>
                <w:div w:id="18696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6441">
      <w:bodyDiv w:val="1"/>
      <w:marLeft w:val="0"/>
      <w:marRight w:val="0"/>
      <w:marTop w:val="0"/>
      <w:marBottom w:val="0"/>
      <w:divBdr>
        <w:top w:val="none" w:sz="0" w:space="0" w:color="auto"/>
        <w:left w:val="none" w:sz="0" w:space="0" w:color="auto"/>
        <w:bottom w:val="none" w:sz="0" w:space="0" w:color="auto"/>
        <w:right w:val="none" w:sz="0" w:space="0" w:color="auto"/>
      </w:divBdr>
    </w:div>
    <w:div w:id="2120564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hi.ox.ac.uk/wp-content/uploads/GovAI-Agenda.pdf" TargetMode="External"/><Relationship Id="rId2" Type="http://schemas.openxmlformats.org/officeDocument/2006/relationships/hyperlink" Target="https://www.thelancet.com/journals/lancet/article/PIIS0140-6736(21)01824-9/fulltext" TargetMode="External"/><Relationship Id="rId1" Type="http://schemas.openxmlformats.org/officeDocument/2006/relationships/hyperlink" Target="https://www.cnbc.com/2021/09/22/uk-publishes-plan-to-become-ai-superpower-and-rival-us-and-china.html" TargetMode="External"/><Relationship Id="rId5" Type="http://schemas.openxmlformats.org/officeDocument/2006/relationships/hyperlink" Target="https://www.theguardian.com/politics/2021/nov/01/law-group-threatens-to-sue-over-immensa-covid-testing-scandal" TargetMode="External"/><Relationship Id="rId4" Type="http://schemas.openxmlformats.org/officeDocument/2006/relationships/hyperlink" Target="https://www.tussell.com/insights/covid?h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4047</Words>
  <Characters>23073</Characters>
  <Application>Microsoft Office Word</Application>
  <DocSecurity>0</DocSecurity>
  <Lines>192</Lines>
  <Paragraphs>54</Paragraphs>
  <ScaleCrop>false</ScaleCrop>
  <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Olivia O'Sullivan</cp:lastModifiedBy>
  <cp:revision>2</cp:revision>
  <dcterms:created xsi:type="dcterms:W3CDTF">2022-01-06T16:14:00Z</dcterms:created>
  <dcterms:modified xsi:type="dcterms:W3CDTF">2022-01-06T16:14:00Z</dcterms:modified>
</cp:coreProperties>
</file>