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6920" w14:textId="77777777" w:rsidR="006E3999" w:rsidRDefault="001B38C0" w:rsidP="00153AC6">
      <w:pPr>
        <w:jc w:val="center"/>
        <w:rPr>
          <w:rFonts w:cs="Times New Roman"/>
          <w:b/>
        </w:rPr>
      </w:pPr>
      <w:r w:rsidRPr="000F5113">
        <w:rPr>
          <w:rFonts w:cs="Times New Roman"/>
          <w:b/>
        </w:rPr>
        <w:t xml:space="preserve">Notes on </w:t>
      </w:r>
      <w:r w:rsidR="006E3999">
        <w:rPr>
          <w:rFonts w:cs="Times New Roman"/>
          <w:b/>
        </w:rPr>
        <w:t xml:space="preserve">the White Paper </w:t>
      </w:r>
      <w:r w:rsidRPr="000F5113">
        <w:rPr>
          <w:rFonts w:cs="Times New Roman"/>
          <w:b/>
        </w:rPr>
        <w:t>‘H</w:t>
      </w:r>
      <w:r w:rsidR="008D4814" w:rsidRPr="000F5113">
        <w:rPr>
          <w:rFonts w:cs="Times New Roman"/>
          <w:b/>
        </w:rPr>
        <w:t xml:space="preserve">ealth and social care integration: </w:t>
      </w:r>
    </w:p>
    <w:p w14:paraId="6564FA5B" w14:textId="5EF81551" w:rsidR="008D4814" w:rsidRPr="000F5113" w:rsidRDefault="008D4814" w:rsidP="006E3999">
      <w:pPr>
        <w:jc w:val="center"/>
        <w:rPr>
          <w:rFonts w:cs="Times New Roman"/>
          <w:b/>
        </w:rPr>
      </w:pPr>
      <w:r w:rsidRPr="000F5113">
        <w:rPr>
          <w:rFonts w:cs="Times New Roman"/>
          <w:b/>
        </w:rPr>
        <w:t xml:space="preserve">joining up care for people, </w:t>
      </w:r>
      <w:proofErr w:type="gramStart"/>
      <w:r w:rsidRPr="000F5113">
        <w:rPr>
          <w:rFonts w:cs="Times New Roman"/>
          <w:b/>
        </w:rPr>
        <w:t>places</w:t>
      </w:r>
      <w:proofErr w:type="gramEnd"/>
      <w:r w:rsidRPr="000F5113">
        <w:rPr>
          <w:rFonts w:cs="Times New Roman"/>
          <w:b/>
        </w:rPr>
        <w:t xml:space="preserve"> and populations</w:t>
      </w:r>
      <w:r w:rsidR="001B38C0" w:rsidRPr="000F5113">
        <w:rPr>
          <w:rFonts w:cs="Times New Roman"/>
          <w:b/>
        </w:rPr>
        <w:t>’</w:t>
      </w:r>
    </w:p>
    <w:p w14:paraId="3349E1C3" w14:textId="77777777" w:rsidR="00153AC6" w:rsidRPr="000F5113" w:rsidRDefault="00153AC6" w:rsidP="00153AC6">
      <w:pPr>
        <w:jc w:val="center"/>
        <w:rPr>
          <w:rFonts w:cs="Times New Roman"/>
          <w:b/>
          <w:sz w:val="22"/>
          <w:szCs w:val="22"/>
        </w:rPr>
      </w:pPr>
    </w:p>
    <w:p w14:paraId="6DE56825" w14:textId="49E0E274" w:rsidR="008D4814" w:rsidRPr="000F5113" w:rsidRDefault="00F246AD" w:rsidP="00F246AD">
      <w:pPr>
        <w:jc w:val="center"/>
        <w:rPr>
          <w:rFonts w:cs="Times New Roman"/>
          <w:sz w:val="22"/>
          <w:szCs w:val="22"/>
        </w:rPr>
      </w:pPr>
      <w:r w:rsidRPr="000F5113">
        <w:rPr>
          <w:rFonts w:cs="Times New Roman"/>
          <w:sz w:val="22"/>
          <w:szCs w:val="22"/>
        </w:rPr>
        <w:t>(</w:t>
      </w:r>
      <w:r w:rsidR="008D4814" w:rsidRPr="000F5113">
        <w:rPr>
          <w:rFonts w:cs="Times New Roman"/>
          <w:sz w:val="22"/>
          <w:szCs w:val="22"/>
        </w:rPr>
        <w:t>D</w:t>
      </w:r>
      <w:r w:rsidR="00FC5936" w:rsidRPr="000F5113">
        <w:rPr>
          <w:rFonts w:cs="Times New Roman"/>
          <w:sz w:val="22"/>
          <w:szCs w:val="22"/>
        </w:rPr>
        <w:t>epartment of Health and Social Care</w:t>
      </w:r>
      <w:r w:rsidR="004E6047" w:rsidRPr="000F5113">
        <w:rPr>
          <w:rFonts w:cs="Times New Roman"/>
          <w:sz w:val="22"/>
          <w:szCs w:val="22"/>
        </w:rPr>
        <w:t>, updated</w:t>
      </w:r>
      <w:r w:rsidR="008D4814" w:rsidRPr="000F5113">
        <w:rPr>
          <w:rFonts w:cs="Times New Roman"/>
          <w:sz w:val="22"/>
          <w:szCs w:val="22"/>
        </w:rPr>
        <w:t xml:space="preserve"> February 2022</w:t>
      </w:r>
      <w:r w:rsidRPr="000F5113">
        <w:rPr>
          <w:rFonts w:cs="Times New Roman"/>
          <w:sz w:val="22"/>
          <w:szCs w:val="22"/>
        </w:rPr>
        <w:t>)</w:t>
      </w:r>
    </w:p>
    <w:p w14:paraId="10F2B903" w14:textId="77777777" w:rsidR="002640AA" w:rsidRPr="000F5113" w:rsidRDefault="002640AA">
      <w:pPr>
        <w:rPr>
          <w:rFonts w:cs="Times New Roman"/>
          <w:sz w:val="22"/>
          <w:szCs w:val="22"/>
        </w:rPr>
      </w:pPr>
    </w:p>
    <w:p w14:paraId="706AB2AF" w14:textId="3466BFCC" w:rsidR="008D4814" w:rsidRPr="000F5113" w:rsidRDefault="00F50950">
      <w:pPr>
        <w:rPr>
          <w:rFonts w:cs="Times New Roman"/>
          <w:sz w:val="18"/>
          <w:szCs w:val="18"/>
        </w:rPr>
      </w:pPr>
      <w:hyperlink r:id="rId7" w:history="1">
        <w:r w:rsidR="008D4814" w:rsidRPr="000F5113">
          <w:rPr>
            <w:rStyle w:val="Hyperlink"/>
            <w:rFonts w:cs="Times New Roman"/>
            <w:sz w:val="18"/>
            <w:szCs w:val="18"/>
          </w:rPr>
          <w:t>https://www.gov.uk/government/publications/health-and-social-care-integration-joining-up-care-for-people-places-and-populations/health-and-social-care-integration-joining-up-care-for-people-places-and-populations</w:t>
        </w:r>
      </w:hyperlink>
      <w:r w:rsidR="008D4814" w:rsidRPr="000F5113">
        <w:rPr>
          <w:rFonts w:cs="Times New Roman"/>
          <w:sz w:val="18"/>
          <w:szCs w:val="18"/>
        </w:rPr>
        <w:t xml:space="preserve"> </w:t>
      </w:r>
    </w:p>
    <w:p w14:paraId="54558FFE" w14:textId="77777777" w:rsidR="001B38C0" w:rsidRPr="000F5113" w:rsidRDefault="001B38C0">
      <w:pPr>
        <w:rPr>
          <w:rFonts w:cs="Times New Roman"/>
          <w:b/>
          <w:sz w:val="22"/>
          <w:szCs w:val="22"/>
        </w:rPr>
      </w:pPr>
    </w:p>
    <w:p w14:paraId="230A2FDE" w14:textId="603527A6" w:rsidR="00DC641E" w:rsidRPr="000F5113" w:rsidRDefault="000162CD">
      <w:pPr>
        <w:rPr>
          <w:rFonts w:cs="Times New Roman"/>
          <w:b/>
          <w:sz w:val="22"/>
          <w:szCs w:val="22"/>
        </w:rPr>
      </w:pPr>
      <w:r w:rsidRPr="000F5113">
        <w:rPr>
          <w:rFonts w:cs="Times New Roman"/>
          <w:b/>
          <w:sz w:val="22"/>
          <w:szCs w:val="22"/>
        </w:rPr>
        <w:t xml:space="preserve">1. </w:t>
      </w:r>
      <w:r w:rsidR="00B879DE" w:rsidRPr="000F5113">
        <w:rPr>
          <w:rFonts w:cs="Times New Roman"/>
          <w:b/>
          <w:sz w:val="22"/>
          <w:szCs w:val="22"/>
        </w:rPr>
        <w:t>Summary</w:t>
      </w:r>
      <w:r w:rsidR="0028049F" w:rsidRPr="000F5113">
        <w:rPr>
          <w:rFonts w:cs="Times New Roman"/>
          <w:b/>
          <w:sz w:val="22"/>
          <w:szCs w:val="22"/>
        </w:rPr>
        <w:t xml:space="preserve"> of key proposals</w:t>
      </w:r>
      <w:r w:rsidR="00DC641E" w:rsidRPr="000F5113">
        <w:rPr>
          <w:rFonts w:cs="Times New Roman"/>
          <w:b/>
          <w:sz w:val="22"/>
          <w:szCs w:val="22"/>
        </w:rPr>
        <w:t xml:space="preserve"> </w:t>
      </w:r>
    </w:p>
    <w:p w14:paraId="25368508" w14:textId="407EBA2C" w:rsidR="00B65413" w:rsidRPr="000F5113" w:rsidRDefault="00A7042D">
      <w:pPr>
        <w:rPr>
          <w:rFonts w:cs="Times New Roman"/>
          <w:color w:val="FF0000"/>
          <w:sz w:val="20"/>
          <w:szCs w:val="20"/>
        </w:rPr>
      </w:pPr>
      <w:r w:rsidRPr="000F5113">
        <w:rPr>
          <w:rFonts w:cs="Times New Roman"/>
          <w:sz w:val="20"/>
          <w:szCs w:val="20"/>
        </w:rPr>
        <w:t>(</w:t>
      </w:r>
      <w:r w:rsidR="002640AA" w:rsidRPr="000F5113">
        <w:rPr>
          <w:rFonts w:cs="Times New Roman"/>
          <w:sz w:val="20"/>
          <w:szCs w:val="20"/>
        </w:rPr>
        <w:t xml:space="preserve">Based on </w:t>
      </w:r>
      <w:r w:rsidR="000E2812" w:rsidRPr="000F5113">
        <w:rPr>
          <w:rFonts w:cs="Times New Roman"/>
          <w:sz w:val="20"/>
          <w:szCs w:val="20"/>
        </w:rPr>
        <w:t xml:space="preserve">the </w:t>
      </w:r>
      <w:r w:rsidR="00DC641E" w:rsidRPr="000F5113">
        <w:rPr>
          <w:rFonts w:cs="Times New Roman"/>
          <w:sz w:val="20"/>
          <w:szCs w:val="20"/>
        </w:rPr>
        <w:t>L</w:t>
      </w:r>
      <w:r w:rsidR="000E2812" w:rsidRPr="000F5113">
        <w:rPr>
          <w:rFonts w:cs="Times New Roman"/>
          <w:sz w:val="20"/>
          <w:szCs w:val="20"/>
        </w:rPr>
        <w:t xml:space="preserve">ocal </w:t>
      </w:r>
      <w:r w:rsidR="00DC641E" w:rsidRPr="000F5113">
        <w:rPr>
          <w:rFonts w:cs="Times New Roman"/>
          <w:sz w:val="20"/>
          <w:szCs w:val="20"/>
        </w:rPr>
        <w:t>G</w:t>
      </w:r>
      <w:r w:rsidR="000E2812" w:rsidRPr="000F5113">
        <w:rPr>
          <w:rFonts w:cs="Times New Roman"/>
          <w:sz w:val="20"/>
          <w:szCs w:val="20"/>
        </w:rPr>
        <w:t xml:space="preserve">overnment </w:t>
      </w:r>
      <w:r w:rsidR="00DC641E" w:rsidRPr="000F5113">
        <w:rPr>
          <w:rFonts w:cs="Times New Roman"/>
          <w:sz w:val="20"/>
          <w:szCs w:val="20"/>
        </w:rPr>
        <w:t>A</w:t>
      </w:r>
      <w:r w:rsidR="000E2812" w:rsidRPr="000F5113">
        <w:rPr>
          <w:rFonts w:cs="Times New Roman"/>
          <w:sz w:val="20"/>
          <w:szCs w:val="20"/>
        </w:rPr>
        <w:t>ssociation</w:t>
      </w:r>
      <w:r w:rsidR="00DC641E" w:rsidRPr="000F5113">
        <w:rPr>
          <w:rFonts w:cs="Times New Roman"/>
          <w:sz w:val="20"/>
          <w:szCs w:val="20"/>
        </w:rPr>
        <w:t>’s summary in its response to the White Paper</w:t>
      </w:r>
      <w:r w:rsidR="00ED0C0F" w:rsidRPr="000F5113">
        <w:rPr>
          <w:rFonts w:cs="Times New Roman"/>
          <w:sz w:val="20"/>
          <w:szCs w:val="20"/>
        </w:rPr>
        <w:t>, with additions</w:t>
      </w:r>
      <w:r w:rsidR="002640AA" w:rsidRPr="000F5113">
        <w:rPr>
          <w:rFonts w:cs="Times New Roman"/>
          <w:sz w:val="20"/>
          <w:szCs w:val="20"/>
        </w:rPr>
        <w:t xml:space="preserve"> from NHS Providers</w:t>
      </w:r>
      <w:r w:rsidR="001B38C0" w:rsidRPr="000F5113">
        <w:rPr>
          <w:rFonts w:cs="Times New Roman"/>
          <w:color w:val="FF0000"/>
          <w:sz w:val="20"/>
          <w:szCs w:val="20"/>
        </w:rPr>
        <w:t>:</w:t>
      </w:r>
      <w:r w:rsidR="00741B46" w:rsidRPr="000F5113">
        <w:rPr>
          <w:rFonts w:cs="Times New Roman"/>
          <w:color w:val="FF0000"/>
          <w:sz w:val="20"/>
          <w:szCs w:val="20"/>
        </w:rPr>
        <w:t xml:space="preserve"> </w:t>
      </w:r>
      <w:r w:rsidR="00741B46" w:rsidRPr="000F5113">
        <w:rPr>
          <w:rFonts w:cs="Times New Roman"/>
          <w:sz w:val="20"/>
          <w:szCs w:val="20"/>
        </w:rPr>
        <w:t>see Appendices 1 and 2</w:t>
      </w:r>
      <w:r w:rsidR="00BA5579" w:rsidRPr="000F5113">
        <w:rPr>
          <w:rFonts w:cs="Times New Roman"/>
          <w:sz w:val="20"/>
          <w:szCs w:val="20"/>
        </w:rPr>
        <w:t>)</w:t>
      </w:r>
      <w:r w:rsidR="00741B46" w:rsidRPr="000F5113">
        <w:rPr>
          <w:rFonts w:cs="Times New Roman"/>
          <w:sz w:val="20"/>
          <w:szCs w:val="20"/>
        </w:rPr>
        <w:t xml:space="preserve">. </w:t>
      </w:r>
      <w:r w:rsidR="00741B46" w:rsidRPr="000F5113">
        <w:rPr>
          <w:rFonts w:cs="Times New Roman"/>
          <w:color w:val="FF0000"/>
          <w:sz w:val="20"/>
          <w:szCs w:val="20"/>
        </w:rPr>
        <w:t xml:space="preserve"> </w:t>
      </w:r>
    </w:p>
    <w:p w14:paraId="664F3BE8" w14:textId="77777777" w:rsidR="00DC641E" w:rsidRPr="000F5113" w:rsidRDefault="00DC641E">
      <w:pPr>
        <w:rPr>
          <w:rFonts w:cs="Times New Roman"/>
          <w:sz w:val="22"/>
          <w:szCs w:val="22"/>
        </w:rPr>
      </w:pPr>
    </w:p>
    <w:p w14:paraId="08BA26AD" w14:textId="5FC77C8A" w:rsidR="00DD1625" w:rsidRPr="000F5113" w:rsidRDefault="005812B6">
      <w:pPr>
        <w:rPr>
          <w:rFonts w:cs="Times New Roman"/>
          <w:sz w:val="22"/>
          <w:szCs w:val="22"/>
        </w:rPr>
      </w:pPr>
      <w:r w:rsidRPr="000F5113">
        <w:rPr>
          <w:rFonts w:cs="Times New Roman"/>
          <w:sz w:val="22"/>
          <w:szCs w:val="22"/>
        </w:rPr>
        <w:t>The White Paper sets out a new approach by the government aimed at bringing together the NHS and local government to jointly deliver health and care services to local communities. It involves</w:t>
      </w:r>
      <w:r w:rsidR="0028049F" w:rsidRPr="000F5113">
        <w:rPr>
          <w:rFonts w:cs="Times New Roman"/>
          <w:sz w:val="22"/>
          <w:szCs w:val="22"/>
        </w:rPr>
        <w:t>:</w:t>
      </w:r>
    </w:p>
    <w:p w14:paraId="686A63D5" w14:textId="27728973" w:rsidR="0028049F" w:rsidRPr="000F5113" w:rsidRDefault="0028049F" w:rsidP="00376EC1">
      <w:pPr>
        <w:numPr>
          <w:ilvl w:val="0"/>
          <w:numId w:val="1"/>
        </w:numPr>
        <w:shd w:val="clear" w:color="auto" w:fill="E2E3E7"/>
        <w:spacing w:before="100" w:beforeAutospacing="1" w:after="300"/>
        <w:rPr>
          <w:rFonts w:eastAsia="Times New Roman" w:cs="Times New Roman"/>
          <w:i/>
          <w:sz w:val="22"/>
          <w:szCs w:val="22"/>
        </w:rPr>
      </w:pPr>
      <w:r w:rsidRPr="000F5113">
        <w:rPr>
          <w:rFonts w:eastAsia="Times New Roman" w:cs="Times New Roman"/>
          <w:sz w:val="22"/>
          <w:szCs w:val="22"/>
        </w:rPr>
        <w:t>consult</w:t>
      </w:r>
      <w:r w:rsidR="005812B6" w:rsidRPr="000F5113">
        <w:rPr>
          <w:rFonts w:eastAsia="Times New Roman" w:cs="Times New Roman"/>
          <w:sz w:val="22"/>
          <w:szCs w:val="22"/>
        </w:rPr>
        <w:t>ing</w:t>
      </w:r>
      <w:r w:rsidRPr="000F5113">
        <w:rPr>
          <w:rFonts w:eastAsia="Times New Roman" w:cs="Times New Roman"/>
          <w:sz w:val="22"/>
          <w:szCs w:val="22"/>
        </w:rPr>
        <w:t xml:space="preserve"> stakeholders and set</w:t>
      </w:r>
      <w:r w:rsidR="00ED2AE5" w:rsidRPr="000F5113">
        <w:rPr>
          <w:rFonts w:eastAsia="Times New Roman" w:cs="Times New Roman"/>
          <w:sz w:val="22"/>
          <w:szCs w:val="22"/>
        </w:rPr>
        <w:t>ting</w:t>
      </w:r>
      <w:r w:rsidRPr="000F5113">
        <w:rPr>
          <w:rFonts w:eastAsia="Times New Roman" w:cs="Times New Roman"/>
          <w:sz w:val="22"/>
          <w:szCs w:val="22"/>
        </w:rPr>
        <w:t xml:space="preserve"> out </w:t>
      </w:r>
      <w:r w:rsidR="002640AA" w:rsidRPr="000F5113">
        <w:rPr>
          <w:rFonts w:eastAsia="Times New Roman" w:cs="Times New Roman"/>
          <w:sz w:val="22"/>
          <w:szCs w:val="22"/>
        </w:rPr>
        <w:t>a framework for shared outcomes</w:t>
      </w:r>
      <w:r w:rsidRPr="000F5113">
        <w:rPr>
          <w:rFonts w:eastAsia="Times New Roman" w:cs="Times New Roman"/>
          <w:sz w:val="22"/>
          <w:szCs w:val="22"/>
        </w:rPr>
        <w:t xml:space="preserve"> to be implemented by Spring 2023</w:t>
      </w:r>
      <w:r w:rsidR="00ED0C0F" w:rsidRPr="000F5113">
        <w:rPr>
          <w:rFonts w:eastAsia="Times New Roman" w:cs="Times New Roman"/>
          <w:sz w:val="22"/>
          <w:szCs w:val="22"/>
        </w:rPr>
        <w:t>.</w:t>
      </w:r>
    </w:p>
    <w:p w14:paraId="5484C9EE" w14:textId="1F0D12D2" w:rsidR="0028049F" w:rsidRPr="000F5113" w:rsidRDefault="0028049F"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expect</w:t>
      </w:r>
      <w:r w:rsidR="005812B6" w:rsidRPr="000F5113">
        <w:rPr>
          <w:rFonts w:eastAsia="Times New Roman" w:cs="Times New Roman"/>
          <w:sz w:val="22"/>
          <w:szCs w:val="22"/>
        </w:rPr>
        <w:t>ing</w:t>
      </w:r>
      <w:r w:rsidRPr="000F5113">
        <w:rPr>
          <w:rFonts w:eastAsia="Times New Roman" w:cs="Times New Roman"/>
          <w:sz w:val="22"/>
          <w:szCs w:val="22"/>
        </w:rPr>
        <w:t xml:space="preserve"> by Spring 2023 that all </w:t>
      </w:r>
      <w:r w:rsidR="00376EC1" w:rsidRPr="000F5113">
        <w:rPr>
          <w:rFonts w:eastAsia="Times New Roman" w:cs="Times New Roman"/>
          <w:sz w:val="22"/>
          <w:szCs w:val="22"/>
        </w:rPr>
        <w:t>‘</w:t>
      </w:r>
      <w:r w:rsidRPr="000F5113">
        <w:rPr>
          <w:rFonts w:eastAsia="Times New Roman" w:cs="Times New Roman"/>
          <w:sz w:val="22"/>
          <w:szCs w:val="22"/>
        </w:rPr>
        <w:t xml:space="preserve">places </w:t>
      </w:r>
      <w:r w:rsidR="00376EC1" w:rsidRPr="000F5113">
        <w:rPr>
          <w:rFonts w:eastAsia="Times New Roman" w:cs="Times New Roman"/>
          <w:sz w:val="22"/>
          <w:szCs w:val="22"/>
        </w:rPr>
        <w:t>‘</w:t>
      </w:r>
      <w:r w:rsidRPr="000F5113">
        <w:rPr>
          <w:rFonts w:eastAsia="Times New Roman" w:cs="Times New Roman"/>
          <w:sz w:val="22"/>
          <w:szCs w:val="22"/>
        </w:rPr>
        <w:t xml:space="preserve">adopt a model of accountability and determine responsibilities for </w:t>
      </w:r>
      <w:r w:rsidR="004E6047" w:rsidRPr="000F5113">
        <w:rPr>
          <w:rFonts w:eastAsia="Times New Roman" w:cs="Times New Roman"/>
          <w:sz w:val="22"/>
          <w:szCs w:val="22"/>
        </w:rPr>
        <w:t>decision-making</w:t>
      </w:r>
      <w:r w:rsidRPr="000F5113">
        <w:rPr>
          <w:rFonts w:eastAsia="Times New Roman" w:cs="Times New Roman"/>
          <w:sz w:val="22"/>
          <w:szCs w:val="22"/>
        </w:rPr>
        <w:t>, including how services should be shaped</w:t>
      </w:r>
      <w:r w:rsidR="004E6047" w:rsidRPr="000F5113">
        <w:rPr>
          <w:rFonts w:eastAsia="Times New Roman" w:cs="Times New Roman"/>
          <w:sz w:val="22"/>
          <w:szCs w:val="22"/>
        </w:rPr>
        <w:t>.</w:t>
      </w:r>
      <w:r w:rsidR="00ED0C0F" w:rsidRPr="000F5113">
        <w:rPr>
          <w:rFonts w:eastAsia="Times New Roman" w:cs="Times New Roman"/>
          <w:i/>
          <w:sz w:val="22"/>
          <w:szCs w:val="22"/>
        </w:rPr>
        <w:t xml:space="preserve"> </w:t>
      </w:r>
    </w:p>
    <w:p w14:paraId="46D02C2D" w14:textId="5F966E1F" w:rsidR="00376EC1" w:rsidRPr="000F5113" w:rsidRDefault="005812B6"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requiring</w:t>
      </w:r>
      <w:r w:rsidR="00376EC1" w:rsidRPr="000F5113">
        <w:rPr>
          <w:rFonts w:eastAsia="Times New Roman" w:cs="Times New Roman"/>
          <w:sz w:val="22"/>
          <w:szCs w:val="22"/>
        </w:rPr>
        <w:t xml:space="preserve"> a single accountable person to be identified at place level for delivering shared outcomes – possibly an individual with a dual role across health and care or an individual lead of a ‘place board’ for example.</w:t>
      </w:r>
    </w:p>
    <w:p w14:paraId="6C7AB4FB" w14:textId="2D45D136" w:rsidR="00153AC6" w:rsidRPr="000F5113" w:rsidRDefault="00376EC1" w:rsidP="00376EC1">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publis</w:t>
      </w:r>
      <w:r w:rsidR="005812B6" w:rsidRPr="000F5113">
        <w:rPr>
          <w:rFonts w:eastAsia="Times New Roman" w:cs="Times New Roman"/>
          <w:sz w:val="22"/>
          <w:szCs w:val="22"/>
        </w:rPr>
        <w:t>ing</w:t>
      </w:r>
      <w:r w:rsidRPr="000F5113">
        <w:rPr>
          <w:rFonts w:eastAsia="Times New Roman" w:cs="Times New Roman"/>
          <w:sz w:val="22"/>
          <w:szCs w:val="22"/>
        </w:rPr>
        <w:t xml:space="preserve"> guidance on the scope of pooled budgets in Spring 2023 and </w:t>
      </w:r>
      <w:r w:rsidR="0028049F" w:rsidRPr="000F5113">
        <w:rPr>
          <w:rFonts w:eastAsia="Times New Roman" w:cs="Times New Roman"/>
          <w:sz w:val="22"/>
          <w:szCs w:val="22"/>
        </w:rPr>
        <w:t>review section 75 of the 2006 Act which underpins pooled budgets, to “simplify and update” the regulations</w:t>
      </w:r>
      <w:r w:rsidRPr="000F5113">
        <w:rPr>
          <w:rFonts w:eastAsia="Times New Roman" w:cs="Times New Roman"/>
          <w:sz w:val="22"/>
          <w:szCs w:val="22"/>
        </w:rPr>
        <w:t xml:space="preserve"> allowing transfers or pooling of funding between NHS commissioners and local authorities.</w:t>
      </w:r>
    </w:p>
    <w:p w14:paraId="72D6ECD2" w14:textId="6A77D5B0" w:rsidR="00376EC1" w:rsidRPr="000F5113" w:rsidRDefault="00376EC1" w:rsidP="00376EC1">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work</w:t>
      </w:r>
      <w:r w:rsidR="005812B6" w:rsidRPr="000F5113">
        <w:rPr>
          <w:rFonts w:eastAsia="Times New Roman" w:cs="Times New Roman"/>
          <w:sz w:val="22"/>
          <w:szCs w:val="22"/>
        </w:rPr>
        <w:t>ing</w:t>
      </w:r>
      <w:r w:rsidRPr="000F5113">
        <w:rPr>
          <w:rFonts w:eastAsia="Times New Roman" w:cs="Times New Roman"/>
          <w:sz w:val="22"/>
          <w:szCs w:val="22"/>
        </w:rPr>
        <w:t xml:space="preserve"> with “partners” to develop guidance for local authorities and the NHS to support going further and faster on financial alignment and pooling. </w:t>
      </w:r>
    </w:p>
    <w:p w14:paraId="6A66905C" w14:textId="404F910C" w:rsidR="00F26BE2" w:rsidRPr="000F5113" w:rsidRDefault="005812B6" w:rsidP="0028049F">
      <w:pPr>
        <w:numPr>
          <w:ilvl w:val="0"/>
          <w:numId w:val="1"/>
        </w:numPr>
        <w:shd w:val="clear" w:color="auto" w:fill="E2E3E7"/>
        <w:spacing w:before="100" w:beforeAutospacing="1" w:after="300"/>
        <w:rPr>
          <w:rFonts w:eastAsia="Times New Roman" w:cs="Times New Roman"/>
          <w:i/>
          <w:iCs/>
          <w:sz w:val="22"/>
          <w:szCs w:val="22"/>
        </w:rPr>
      </w:pPr>
      <w:r w:rsidRPr="000F5113">
        <w:rPr>
          <w:rFonts w:cs="Times New Roman"/>
          <w:iCs/>
          <w:sz w:val="22"/>
          <w:szCs w:val="22"/>
        </w:rPr>
        <w:t>requiring</w:t>
      </w:r>
      <w:r w:rsidR="00376EC1" w:rsidRPr="000F5113">
        <w:rPr>
          <w:rFonts w:cs="Times New Roman"/>
          <w:iCs/>
          <w:sz w:val="22"/>
          <w:szCs w:val="22"/>
        </w:rPr>
        <w:t xml:space="preserve"> “</w:t>
      </w:r>
      <w:r w:rsidR="00F26BE2" w:rsidRPr="000F5113">
        <w:rPr>
          <w:rFonts w:cs="Times New Roman"/>
          <w:iCs/>
          <w:sz w:val="22"/>
          <w:szCs w:val="22"/>
        </w:rPr>
        <w:t>a</w:t>
      </w:r>
      <w:r w:rsidR="00F26BE2" w:rsidRPr="000F5113">
        <w:rPr>
          <w:rFonts w:cs="Times New Roman"/>
          <w:i/>
          <w:iCs/>
          <w:sz w:val="22"/>
          <w:szCs w:val="22"/>
        </w:rPr>
        <w:t xml:space="preserve"> </w:t>
      </w:r>
      <w:r w:rsidR="00F26BE2" w:rsidRPr="000F5113">
        <w:rPr>
          <w:rFonts w:cs="Times New Roman"/>
          <w:iCs/>
          <w:sz w:val="22"/>
          <w:szCs w:val="22"/>
        </w:rPr>
        <w:t xml:space="preserve">significant and, in many cases, growing proportion of health and care activity and spend” </w:t>
      </w:r>
      <w:r w:rsidR="00376EC1" w:rsidRPr="000F5113">
        <w:rPr>
          <w:rFonts w:cs="Times New Roman"/>
          <w:iCs/>
          <w:sz w:val="22"/>
          <w:szCs w:val="22"/>
        </w:rPr>
        <w:t xml:space="preserve">to be </w:t>
      </w:r>
      <w:r w:rsidR="00F26BE2" w:rsidRPr="000F5113">
        <w:rPr>
          <w:rFonts w:cs="Times New Roman"/>
          <w:iCs/>
          <w:sz w:val="22"/>
          <w:szCs w:val="22"/>
        </w:rPr>
        <w:t>overseen and funded through the pl</w:t>
      </w:r>
      <w:r w:rsidR="00376EC1" w:rsidRPr="000F5113">
        <w:rPr>
          <w:rFonts w:cs="Times New Roman"/>
          <w:iCs/>
          <w:sz w:val="22"/>
          <w:szCs w:val="22"/>
        </w:rPr>
        <w:t xml:space="preserve">ace-based partnership. </w:t>
      </w:r>
    </w:p>
    <w:p w14:paraId="05438A5A" w14:textId="3CC18000" w:rsidR="0028049F" w:rsidRPr="000F5113" w:rsidRDefault="00647613"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set</w:t>
      </w:r>
      <w:r w:rsidR="005812B6" w:rsidRPr="000F5113">
        <w:rPr>
          <w:rFonts w:eastAsia="Times New Roman" w:cs="Times New Roman"/>
          <w:sz w:val="22"/>
          <w:szCs w:val="22"/>
        </w:rPr>
        <w:t>ting</w:t>
      </w:r>
      <w:r w:rsidRPr="000F5113">
        <w:rPr>
          <w:rFonts w:eastAsia="Times New Roman" w:cs="Times New Roman"/>
          <w:sz w:val="22"/>
          <w:szCs w:val="22"/>
        </w:rPr>
        <w:t xml:space="preserve"> out the </w:t>
      </w:r>
      <w:r w:rsidR="00ED0C0F" w:rsidRPr="000F5113">
        <w:rPr>
          <w:rFonts w:eastAsia="Times New Roman" w:cs="Times New Roman"/>
          <w:sz w:val="22"/>
          <w:szCs w:val="22"/>
        </w:rPr>
        <w:t>policy framework for the Better Care Fund</w:t>
      </w:r>
      <w:r w:rsidRPr="000F5113">
        <w:rPr>
          <w:rFonts w:eastAsia="Times New Roman" w:cs="Times New Roman"/>
          <w:sz w:val="22"/>
          <w:szCs w:val="22"/>
        </w:rPr>
        <w:t xml:space="preserve"> from 2023, including how the programme will support integration at place level</w:t>
      </w:r>
      <w:r w:rsidR="00376EC1" w:rsidRPr="000F5113">
        <w:rPr>
          <w:rFonts w:eastAsia="Times New Roman" w:cs="Times New Roman"/>
          <w:sz w:val="22"/>
          <w:szCs w:val="22"/>
        </w:rPr>
        <w:t>.</w:t>
      </w:r>
    </w:p>
    <w:p w14:paraId="286674F2" w14:textId="66585DA9" w:rsidR="0028049F" w:rsidRPr="000F5113" w:rsidRDefault="0028049F"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work</w:t>
      </w:r>
      <w:r w:rsidR="005812B6" w:rsidRPr="000F5113">
        <w:rPr>
          <w:rFonts w:eastAsia="Times New Roman" w:cs="Times New Roman"/>
          <w:sz w:val="22"/>
          <w:szCs w:val="22"/>
        </w:rPr>
        <w:t>ing</w:t>
      </w:r>
      <w:r w:rsidRPr="000F5113">
        <w:rPr>
          <w:rFonts w:eastAsia="Times New Roman" w:cs="Times New Roman"/>
          <w:sz w:val="22"/>
          <w:szCs w:val="22"/>
        </w:rPr>
        <w:t xml:space="preserve"> with the Care Quality Commission (CQC) and others to ensure the regulation regime supports the new shared outcomes and accountability arrangements at place</w:t>
      </w:r>
      <w:r w:rsidR="00376EC1" w:rsidRPr="000F5113">
        <w:rPr>
          <w:rFonts w:eastAsia="Times New Roman" w:cs="Times New Roman"/>
          <w:sz w:val="22"/>
          <w:szCs w:val="22"/>
        </w:rPr>
        <w:t>.</w:t>
      </w:r>
    </w:p>
    <w:p w14:paraId="2AA445FB" w14:textId="670DF82E" w:rsidR="0028049F" w:rsidRPr="000F5113" w:rsidRDefault="0028049F" w:rsidP="00153AC6">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develop</w:t>
      </w:r>
      <w:r w:rsidR="005812B6" w:rsidRPr="000F5113">
        <w:rPr>
          <w:rFonts w:eastAsia="Times New Roman" w:cs="Times New Roman"/>
          <w:sz w:val="22"/>
          <w:szCs w:val="22"/>
        </w:rPr>
        <w:t>ing</w:t>
      </w:r>
      <w:r w:rsidRPr="000F5113">
        <w:rPr>
          <w:rFonts w:eastAsia="Times New Roman" w:cs="Times New Roman"/>
          <w:sz w:val="22"/>
          <w:szCs w:val="22"/>
        </w:rPr>
        <w:t xml:space="preserve"> a national leadership programme, addressing the skills needed to deliver system transformatio</w:t>
      </w:r>
      <w:r w:rsidR="00376EC1" w:rsidRPr="000F5113">
        <w:rPr>
          <w:rFonts w:eastAsia="Times New Roman" w:cs="Times New Roman"/>
          <w:sz w:val="22"/>
          <w:szCs w:val="22"/>
        </w:rPr>
        <w:t>n and place-based partnerships.</w:t>
      </w:r>
    </w:p>
    <w:p w14:paraId="7B1D82ED" w14:textId="67BEBBA9" w:rsidR="0028049F" w:rsidRPr="000F5113" w:rsidRDefault="005812B6"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ensuring</w:t>
      </w:r>
      <w:r w:rsidR="0028049F" w:rsidRPr="000F5113">
        <w:rPr>
          <w:rFonts w:eastAsia="Times New Roman" w:cs="Times New Roman"/>
          <w:sz w:val="22"/>
          <w:szCs w:val="22"/>
        </w:rPr>
        <w:t xml:space="preserve"> all professionals have access to a single health and adult social care re</w:t>
      </w:r>
      <w:r w:rsidR="001D5CB2" w:rsidRPr="000F5113">
        <w:rPr>
          <w:rFonts w:eastAsia="Times New Roman" w:cs="Times New Roman"/>
          <w:sz w:val="22"/>
          <w:szCs w:val="22"/>
        </w:rPr>
        <w:t>cord for each ci</w:t>
      </w:r>
      <w:r w:rsidR="00ED0C0F" w:rsidRPr="000F5113">
        <w:rPr>
          <w:rFonts w:eastAsia="Times New Roman" w:cs="Times New Roman"/>
          <w:sz w:val="22"/>
          <w:szCs w:val="22"/>
        </w:rPr>
        <w:t xml:space="preserve">tizen </w:t>
      </w:r>
      <w:r w:rsidR="000E2812" w:rsidRPr="000F5113">
        <w:rPr>
          <w:rFonts w:eastAsia="Times New Roman" w:cs="Times New Roman"/>
          <w:sz w:val="22"/>
          <w:szCs w:val="22"/>
        </w:rPr>
        <w:t>(by 2024), ultimately accessible</w:t>
      </w:r>
      <w:r w:rsidR="00ED0C0F" w:rsidRPr="000F5113">
        <w:rPr>
          <w:rFonts w:eastAsia="Times New Roman" w:cs="Times New Roman"/>
          <w:sz w:val="22"/>
          <w:szCs w:val="22"/>
        </w:rPr>
        <w:t xml:space="preserve"> by citizens.</w:t>
      </w:r>
    </w:p>
    <w:p w14:paraId="3634A8A6" w14:textId="5DE376C5" w:rsidR="0028049F" w:rsidRPr="000F5113" w:rsidRDefault="005812B6"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lastRenderedPageBreak/>
        <w:t>ensuring</w:t>
      </w:r>
      <w:r w:rsidR="0028049F" w:rsidRPr="000F5113">
        <w:rPr>
          <w:rFonts w:eastAsia="Times New Roman" w:cs="Times New Roman"/>
          <w:sz w:val="22"/>
          <w:szCs w:val="22"/>
        </w:rPr>
        <w:t xml:space="preserve"> each ICS will implement a population health platform that uses joined up data to support planning, proactive population health managem</w:t>
      </w:r>
      <w:r w:rsidR="00153AC6" w:rsidRPr="000F5113">
        <w:rPr>
          <w:rFonts w:eastAsia="Times New Roman" w:cs="Times New Roman"/>
          <w:sz w:val="22"/>
          <w:szCs w:val="22"/>
        </w:rPr>
        <w:t xml:space="preserve">ent and </w:t>
      </w:r>
      <w:r w:rsidR="0028049F" w:rsidRPr="000F5113">
        <w:rPr>
          <w:rFonts w:eastAsia="Times New Roman" w:cs="Times New Roman"/>
          <w:sz w:val="22"/>
          <w:szCs w:val="22"/>
        </w:rPr>
        <w:t>public health (by 2025)</w:t>
      </w:r>
      <w:r w:rsidR="00376EC1" w:rsidRPr="000F5113">
        <w:rPr>
          <w:rFonts w:eastAsia="Times New Roman" w:cs="Times New Roman"/>
          <w:sz w:val="22"/>
          <w:szCs w:val="22"/>
        </w:rPr>
        <w:t>.</w:t>
      </w:r>
    </w:p>
    <w:p w14:paraId="1D36A72C" w14:textId="7A505E5F" w:rsidR="0028049F" w:rsidRPr="000F5113" w:rsidRDefault="0028049F"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develop</w:t>
      </w:r>
      <w:r w:rsidR="005812B6" w:rsidRPr="000F5113">
        <w:rPr>
          <w:rFonts w:eastAsia="Times New Roman" w:cs="Times New Roman"/>
          <w:sz w:val="22"/>
          <w:szCs w:val="22"/>
        </w:rPr>
        <w:t>ing</w:t>
      </w:r>
      <w:r w:rsidRPr="000F5113">
        <w:rPr>
          <w:rFonts w:eastAsia="Times New Roman" w:cs="Times New Roman"/>
          <w:sz w:val="22"/>
          <w:szCs w:val="22"/>
        </w:rPr>
        <w:t xml:space="preserve"> a standards roadmap (2022) and co-designed suite of standards for adult social care (Autumn 2023)</w:t>
      </w:r>
      <w:r w:rsidR="00376EC1" w:rsidRPr="000F5113">
        <w:rPr>
          <w:rFonts w:eastAsia="Times New Roman" w:cs="Times New Roman"/>
          <w:sz w:val="22"/>
          <w:szCs w:val="22"/>
        </w:rPr>
        <w:t>.</w:t>
      </w:r>
    </w:p>
    <w:p w14:paraId="54B805AB" w14:textId="268D26B1" w:rsidR="0028049F" w:rsidRPr="000F5113" w:rsidRDefault="005812B6"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 enabling</w:t>
      </w:r>
      <w:r w:rsidR="0028049F" w:rsidRPr="000F5113">
        <w:rPr>
          <w:rFonts w:eastAsia="Times New Roman" w:cs="Times New Roman"/>
          <w:sz w:val="22"/>
          <w:szCs w:val="22"/>
        </w:rPr>
        <w:t xml:space="preserve"> one million people to be supported by digitally enabled care at home (by 2022)</w:t>
      </w:r>
      <w:r w:rsidR="00376EC1" w:rsidRPr="000F5113">
        <w:rPr>
          <w:rFonts w:eastAsia="Times New Roman" w:cs="Times New Roman"/>
          <w:sz w:val="22"/>
          <w:szCs w:val="22"/>
        </w:rPr>
        <w:t>.</w:t>
      </w:r>
    </w:p>
    <w:p w14:paraId="32BE6449" w14:textId="21143432" w:rsidR="0028049F" w:rsidRPr="000F5113" w:rsidRDefault="0028049F"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strengthen</w:t>
      </w:r>
      <w:r w:rsidR="005812B6" w:rsidRPr="000F5113">
        <w:rPr>
          <w:rFonts w:eastAsia="Times New Roman" w:cs="Times New Roman"/>
          <w:sz w:val="22"/>
          <w:szCs w:val="22"/>
        </w:rPr>
        <w:t>ing</w:t>
      </w:r>
      <w:r w:rsidRPr="000F5113">
        <w:rPr>
          <w:rFonts w:eastAsia="Times New Roman" w:cs="Times New Roman"/>
          <w:sz w:val="22"/>
          <w:szCs w:val="22"/>
        </w:rPr>
        <w:t xml:space="preserve"> the role of workforce planning at ICS and place levels</w:t>
      </w:r>
      <w:r w:rsidR="00376EC1" w:rsidRPr="000F5113">
        <w:rPr>
          <w:rFonts w:eastAsia="Times New Roman" w:cs="Times New Roman"/>
          <w:sz w:val="22"/>
          <w:szCs w:val="22"/>
        </w:rPr>
        <w:t>.</w:t>
      </w:r>
    </w:p>
    <w:p w14:paraId="4D1A2554" w14:textId="1F23327D" w:rsidR="0028049F" w:rsidRPr="000F5113" w:rsidRDefault="0028049F"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review</w:t>
      </w:r>
      <w:r w:rsidR="005812B6" w:rsidRPr="000F5113">
        <w:rPr>
          <w:rFonts w:eastAsia="Times New Roman" w:cs="Times New Roman"/>
          <w:sz w:val="22"/>
          <w:szCs w:val="22"/>
        </w:rPr>
        <w:t>ing</w:t>
      </w:r>
      <w:r w:rsidRPr="000F5113">
        <w:rPr>
          <w:rFonts w:eastAsia="Times New Roman" w:cs="Times New Roman"/>
          <w:sz w:val="22"/>
          <w:szCs w:val="22"/>
        </w:rPr>
        <w:t xml:space="preserve"> barriers (including regulatory and statutory) to flexible movement and deployment of health and care staff at place level</w:t>
      </w:r>
      <w:r w:rsidR="00376EC1" w:rsidRPr="000F5113">
        <w:rPr>
          <w:rFonts w:eastAsia="Times New Roman" w:cs="Times New Roman"/>
          <w:sz w:val="22"/>
          <w:szCs w:val="22"/>
        </w:rPr>
        <w:t>.</w:t>
      </w:r>
    </w:p>
    <w:p w14:paraId="7F16D510" w14:textId="2454B476" w:rsidR="0028049F" w:rsidRPr="000F5113" w:rsidRDefault="0028049F"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develop</w:t>
      </w:r>
      <w:r w:rsidR="005812B6" w:rsidRPr="000F5113">
        <w:rPr>
          <w:rFonts w:eastAsia="Times New Roman" w:cs="Times New Roman"/>
          <w:sz w:val="22"/>
          <w:szCs w:val="22"/>
        </w:rPr>
        <w:t>ing</w:t>
      </w:r>
      <w:r w:rsidRPr="000F5113">
        <w:rPr>
          <w:rFonts w:eastAsia="Times New Roman" w:cs="Times New Roman"/>
          <w:sz w:val="22"/>
          <w:szCs w:val="22"/>
        </w:rPr>
        <w:t xml:space="preserve"> a national delegation framework of appropriate clinical interventions to be used in care settings</w:t>
      </w:r>
      <w:r w:rsidR="00376EC1" w:rsidRPr="000F5113">
        <w:rPr>
          <w:rFonts w:eastAsia="Times New Roman" w:cs="Times New Roman"/>
          <w:sz w:val="22"/>
          <w:szCs w:val="22"/>
        </w:rPr>
        <w:t>.</w:t>
      </w:r>
    </w:p>
    <w:p w14:paraId="29F8C6F1" w14:textId="0811DAA8" w:rsidR="0028049F" w:rsidRPr="000F5113" w:rsidRDefault="0028049F" w:rsidP="0028049F">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improv</w:t>
      </w:r>
      <w:r w:rsidR="005812B6" w:rsidRPr="000F5113">
        <w:rPr>
          <w:rFonts w:eastAsia="Times New Roman" w:cs="Times New Roman"/>
          <w:sz w:val="22"/>
          <w:szCs w:val="22"/>
        </w:rPr>
        <w:t>ing</w:t>
      </w:r>
      <w:r w:rsidRPr="000F5113">
        <w:rPr>
          <w:rFonts w:eastAsia="Times New Roman" w:cs="Times New Roman"/>
          <w:sz w:val="22"/>
          <w:szCs w:val="22"/>
        </w:rPr>
        <w:t xml:space="preserve"> opportunities for cross-sector training and joint roles for adult social care and NHS staff in both regulated and unregulated roles</w:t>
      </w:r>
      <w:r w:rsidR="00376EC1" w:rsidRPr="000F5113">
        <w:rPr>
          <w:rFonts w:eastAsia="Times New Roman" w:cs="Times New Roman"/>
          <w:sz w:val="22"/>
          <w:szCs w:val="22"/>
        </w:rPr>
        <w:t>.</w:t>
      </w:r>
    </w:p>
    <w:p w14:paraId="5084195F" w14:textId="403E60BA" w:rsidR="00647613" w:rsidRPr="000F5113" w:rsidRDefault="0028049F" w:rsidP="0084111D">
      <w:pPr>
        <w:numPr>
          <w:ilvl w:val="0"/>
          <w:numId w:val="1"/>
        </w:numPr>
        <w:shd w:val="clear" w:color="auto" w:fill="E2E3E7"/>
        <w:spacing w:before="100" w:beforeAutospacing="1" w:after="300"/>
        <w:rPr>
          <w:rFonts w:eastAsia="Times New Roman" w:cs="Times New Roman"/>
          <w:sz w:val="22"/>
          <w:szCs w:val="22"/>
        </w:rPr>
      </w:pPr>
      <w:r w:rsidRPr="000F5113">
        <w:rPr>
          <w:rFonts w:eastAsia="Times New Roman" w:cs="Times New Roman"/>
          <w:sz w:val="22"/>
          <w:szCs w:val="22"/>
        </w:rPr>
        <w:t>appoint</w:t>
      </w:r>
      <w:r w:rsidR="005812B6" w:rsidRPr="000F5113">
        <w:rPr>
          <w:rFonts w:eastAsia="Times New Roman" w:cs="Times New Roman"/>
          <w:sz w:val="22"/>
          <w:szCs w:val="22"/>
        </w:rPr>
        <w:t>ing</w:t>
      </w:r>
      <w:r w:rsidRPr="000F5113">
        <w:rPr>
          <w:rFonts w:eastAsia="Times New Roman" w:cs="Times New Roman"/>
          <w:sz w:val="22"/>
          <w:szCs w:val="22"/>
        </w:rPr>
        <w:t xml:space="preserve"> a set of front-runner areas in Spring 2023 to trial the outcomes, accountability, regulatory and financial reforms discussed in this document.</w:t>
      </w:r>
    </w:p>
    <w:p w14:paraId="7B2E0137" w14:textId="77777777" w:rsidR="00D91390" w:rsidRPr="000F5113" w:rsidRDefault="00D91390">
      <w:pPr>
        <w:rPr>
          <w:rFonts w:cs="Times New Roman"/>
          <w:b/>
          <w:sz w:val="22"/>
          <w:szCs w:val="22"/>
        </w:rPr>
      </w:pPr>
    </w:p>
    <w:p w14:paraId="2DF826D5" w14:textId="4DC7DD73" w:rsidR="0022024A" w:rsidRPr="000F5113" w:rsidRDefault="000162CD">
      <w:pPr>
        <w:rPr>
          <w:rFonts w:cs="Times New Roman"/>
          <w:b/>
          <w:sz w:val="22"/>
          <w:szCs w:val="22"/>
        </w:rPr>
      </w:pPr>
      <w:r w:rsidRPr="000F5113">
        <w:rPr>
          <w:rFonts w:cs="Times New Roman"/>
          <w:b/>
          <w:sz w:val="22"/>
          <w:szCs w:val="22"/>
        </w:rPr>
        <w:t xml:space="preserve">2. </w:t>
      </w:r>
      <w:r w:rsidR="00DC641E" w:rsidRPr="000F5113">
        <w:rPr>
          <w:rFonts w:cs="Times New Roman"/>
          <w:b/>
          <w:sz w:val="22"/>
          <w:szCs w:val="22"/>
        </w:rPr>
        <w:t>Our general observations</w:t>
      </w:r>
    </w:p>
    <w:p w14:paraId="23F69338" w14:textId="288FCB8C" w:rsidR="0022024A" w:rsidRPr="000F5113" w:rsidRDefault="0022024A">
      <w:pPr>
        <w:rPr>
          <w:rFonts w:cs="Times New Roman"/>
          <w:sz w:val="22"/>
          <w:szCs w:val="22"/>
        </w:rPr>
      </w:pPr>
      <w:r w:rsidRPr="000F5113">
        <w:rPr>
          <w:rFonts w:cs="Times New Roman"/>
          <w:sz w:val="22"/>
          <w:szCs w:val="22"/>
        </w:rPr>
        <w:t>The White Paper is highly repetitive</w:t>
      </w:r>
      <w:r w:rsidR="002640AA" w:rsidRPr="000F5113">
        <w:rPr>
          <w:rFonts w:cs="Times New Roman"/>
          <w:sz w:val="22"/>
          <w:szCs w:val="22"/>
        </w:rPr>
        <w:t>,</w:t>
      </w:r>
      <w:r w:rsidR="00805D72" w:rsidRPr="000F5113">
        <w:rPr>
          <w:rFonts w:cs="Times New Roman"/>
          <w:sz w:val="22"/>
          <w:szCs w:val="22"/>
        </w:rPr>
        <w:t xml:space="preserve"> </w:t>
      </w:r>
      <w:r w:rsidRPr="000F5113">
        <w:rPr>
          <w:rFonts w:cs="Times New Roman"/>
          <w:sz w:val="22"/>
          <w:szCs w:val="22"/>
        </w:rPr>
        <w:t>aspirational</w:t>
      </w:r>
      <w:r w:rsidR="00424A66" w:rsidRPr="000F5113">
        <w:rPr>
          <w:rFonts w:cs="Times New Roman"/>
          <w:sz w:val="22"/>
          <w:szCs w:val="22"/>
        </w:rPr>
        <w:t xml:space="preserve"> and without concrete proposals for </w:t>
      </w:r>
      <w:r w:rsidR="00A64EE7" w:rsidRPr="000F5113">
        <w:rPr>
          <w:rFonts w:cs="Times New Roman"/>
          <w:sz w:val="22"/>
          <w:szCs w:val="22"/>
        </w:rPr>
        <w:t>how to deal with practical</w:t>
      </w:r>
      <w:r w:rsidR="00F94497" w:rsidRPr="000F5113">
        <w:rPr>
          <w:rFonts w:cs="Times New Roman"/>
          <w:sz w:val="22"/>
          <w:szCs w:val="22"/>
        </w:rPr>
        <w:t xml:space="preserve"> / legal</w:t>
      </w:r>
      <w:r w:rsidR="00805D72" w:rsidRPr="000F5113">
        <w:rPr>
          <w:rFonts w:cs="Times New Roman"/>
          <w:sz w:val="22"/>
          <w:szCs w:val="22"/>
        </w:rPr>
        <w:t xml:space="preserve"> problems or </w:t>
      </w:r>
      <w:r w:rsidR="00A64EE7" w:rsidRPr="000F5113">
        <w:rPr>
          <w:rFonts w:cs="Times New Roman"/>
          <w:sz w:val="22"/>
          <w:szCs w:val="22"/>
        </w:rPr>
        <w:t>issues.</w:t>
      </w:r>
    </w:p>
    <w:p w14:paraId="5946A5D7" w14:textId="77777777" w:rsidR="00D72158" w:rsidRPr="000F5113" w:rsidRDefault="00D72158">
      <w:pPr>
        <w:rPr>
          <w:rFonts w:cs="Times New Roman"/>
          <w:sz w:val="22"/>
          <w:szCs w:val="22"/>
        </w:rPr>
      </w:pPr>
    </w:p>
    <w:p w14:paraId="0655014D" w14:textId="70013278" w:rsidR="00D72158" w:rsidRPr="000F5113" w:rsidRDefault="00D72158">
      <w:pPr>
        <w:rPr>
          <w:rFonts w:cs="Times New Roman"/>
          <w:sz w:val="22"/>
          <w:szCs w:val="22"/>
        </w:rPr>
      </w:pPr>
      <w:r w:rsidRPr="000F5113">
        <w:rPr>
          <w:rFonts w:cs="Times New Roman"/>
          <w:sz w:val="22"/>
          <w:szCs w:val="22"/>
        </w:rPr>
        <w:t>The overall concern is with prevention, ‘wellbeing’, and population health</w:t>
      </w:r>
      <w:r w:rsidR="000E2812" w:rsidRPr="000F5113">
        <w:rPr>
          <w:rFonts w:cs="Times New Roman"/>
          <w:sz w:val="22"/>
          <w:szCs w:val="22"/>
        </w:rPr>
        <w:t>.</w:t>
      </w:r>
      <w:r w:rsidRPr="000F5113">
        <w:rPr>
          <w:rFonts w:cs="Times New Roman"/>
          <w:sz w:val="22"/>
          <w:szCs w:val="22"/>
        </w:rPr>
        <w:t xml:space="preserve"> </w:t>
      </w:r>
    </w:p>
    <w:p w14:paraId="48EEB18A" w14:textId="77777777" w:rsidR="00B879DE" w:rsidRPr="000F5113" w:rsidRDefault="00B879DE">
      <w:pPr>
        <w:rPr>
          <w:rFonts w:cs="Times New Roman"/>
          <w:sz w:val="22"/>
          <w:szCs w:val="22"/>
        </w:rPr>
      </w:pPr>
    </w:p>
    <w:p w14:paraId="01071FB3" w14:textId="71367CA3" w:rsidR="0022024A" w:rsidRPr="000F5113" w:rsidRDefault="0022024A" w:rsidP="000162CD">
      <w:pPr>
        <w:rPr>
          <w:rFonts w:eastAsia="Times New Roman" w:cs="Times New Roman"/>
          <w:color w:val="0B0C0C"/>
          <w:sz w:val="22"/>
          <w:szCs w:val="22"/>
          <w:u w:val="single"/>
          <w:shd w:val="clear" w:color="auto" w:fill="FFFFFF"/>
        </w:rPr>
      </w:pPr>
      <w:r w:rsidRPr="000F5113">
        <w:rPr>
          <w:rFonts w:cs="Times New Roman"/>
          <w:sz w:val="22"/>
          <w:szCs w:val="22"/>
        </w:rPr>
        <w:t xml:space="preserve">It </w:t>
      </w:r>
      <w:r w:rsidR="00B879DE" w:rsidRPr="000F5113">
        <w:rPr>
          <w:rFonts w:cs="Times New Roman"/>
          <w:sz w:val="22"/>
          <w:szCs w:val="22"/>
        </w:rPr>
        <w:t xml:space="preserve">suggests a </w:t>
      </w:r>
      <w:r w:rsidR="00D72158" w:rsidRPr="000F5113">
        <w:rPr>
          <w:rFonts w:cs="Times New Roman"/>
          <w:sz w:val="22"/>
          <w:szCs w:val="22"/>
        </w:rPr>
        <w:t xml:space="preserve">much </w:t>
      </w:r>
      <w:r w:rsidR="00B879DE" w:rsidRPr="000F5113">
        <w:rPr>
          <w:rFonts w:cs="Times New Roman"/>
          <w:sz w:val="22"/>
          <w:szCs w:val="22"/>
        </w:rPr>
        <w:t xml:space="preserve">greater role for ‘places’ </w:t>
      </w:r>
      <w:r w:rsidR="008460DC" w:rsidRPr="000F5113">
        <w:rPr>
          <w:rFonts w:cs="Times New Roman"/>
          <w:sz w:val="22"/>
          <w:szCs w:val="22"/>
        </w:rPr>
        <w:t xml:space="preserve">rather than at a strategic level (the ICS), </w:t>
      </w:r>
      <w:r w:rsidR="000162CD" w:rsidRPr="000F5113">
        <w:rPr>
          <w:rFonts w:cs="Times New Roman"/>
          <w:sz w:val="22"/>
          <w:szCs w:val="22"/>
        </w:rPr>
        <w:t xml:space="preserve">saying that “The truly radical possibilities ….. are more likely to be identified and realised by local organisations than through central prescription.” </w:t>
      </w:r>
    </w:p>
    <w:p w14:paraId="087B244C" w14:textId="77777777" w:rsidR="0022024A" w:rsidRPr="000F5113" w:rsidRDefault="0022024A" w:rsidP="000162CD">
      <w:pPr>
        <w:rPr>
          <w:rFonts w:eastAsia="Times New Roman" w:cs="Times New Roman"/>
          <w:color w:val="0B0C0C"/>
          <w:sz w:val="22"/>
          <w:szCs w:val="22"/>
          <w:shd w:val="clear" w:color="auto" w:fill="FFFFFF"/>
        </w:rPr>
      </w:pPr>
    </w:p>
    <w:p w14:paraId="58D71D41" w14:textId="1C6AF60F" w:rsidR="000162CD" w:rsidRPr="000F5113" w:rsidRDefault="0022024A" w:rsidP="000162CD">
      <w:pPr>
        <w:rPr>
          <w:rFonts w:eastAsia="Times New Roman" w:cs="Times New Roman"/>
          <w:sz w:val="22"/>
          <w:szCs w:val="22"/>
          <w:shd w:val="clear" w:color="auto" w:fill="FFFFFF"/>
        </w:rPr>
      </w:pPr>
      <w:r w:rsidRPr="000F5113">
        <w:rPr>
          <w:rFonts w:eastAsia="Times New Roman" w:cs="Times New Roman"/>
          <w:color w:val="0B0C0C"/>
          <w:sz w:val="22"/>
          <w:szCs w:val="22"/>
          <w:shd w:val="clear" w:color="auto" w:fill="FFFFFF"/>
        </w:rPr>
        <w:t>E</w:t>
      </w:r>
      <w:r w:rsidR="00153AC6" w:rsidRPr="000F5113">
        <w:rPr>
          <w:rFonts w:eastAsia="Times New Roman" w:cs="Times New Roman"/>
          <w:color w:val="0B0C0C"/>
          <w:sz w:val="22"/>
          <w:szCs w:val="22"/>
          <w:shd w:val="clear" w:color="auto" w:fill="FFFFFF"/>
        </w:rPr>
        <w:t>ventually</w:t>
      </w:r>
      <w:r w:rsidR="002640AA" w:rsidRPr="000F5113">
        <w:rPr>
          <w:rFonts w:eastAsia="Times New Roman" w:cs="Times New Roman"/>
          <w:color w:val="0B0C0C"/>
          <w:sz w:val="22"/>
          <w:szCs w:val="22"/>
          <w:shd w:val="clear" w:color="auto" w:fill="FFFFFF"/>
        </w:rPr>
        <w:t>,</w:t>
      </w:r>
      <w:r w:rsidR="00153AC6" w:rsidRPr="000F5113">
        <w:rPr>
          <w:rFonts w:eastAsia="Times New Roman" w:cs="Times New Roman"/>
          <w:color w:val="0B0C0C"/>
          <w:sz w:val="22"/>
          <w:szCs w:val="22"/>
          <w:shd w:val="clear" w:color="auto" w:fill="FFFFFF"/>
        </w:rPr>
        <w:t xml:space="preserve"> pooled or aligned </w:t>
      </w:r>
      <w:r w:rsidRPr="000F5113">
        <w:rPr>
          <w:rFonts w:eastAsia="Times New Roman" w:cs="Times New Roman"/>
          <w:color w:val="0B0C0C"/>
          <w:sz w:val="22"/>
          <w:szCs w:val="22"/>
          <w:shd w:val="clear" w:color="auto" w:fill="FFFFFF"/>
        </w:rPr>
        <w:t xml:space="preserve">budgets </w:t>
      </w:r>
      <w:r w:rsidR="00153AC6" w:rsidRPr="000F5113">
        <w:rPr>
          <w:rFonts w:eastAsia="Times New Roman" w:cs="Times New Roman"/>
          <w:color w:val="0B0C0C"/>
          <w:sz w:val="22"/>
          <w:szCs w:val="22"/>
          <w:shd w:val="clear" w:color="auto" w:fill="FFFFFF"/>
        </w:rPr>
        <w:t xml:space="preserve">will cover much of the funding for health and social care </w:t>
      </w:r>
      <w:r w:rsidRPr="000F5113">
        <w:rPr>
          <w:rFonts w:eastAsia="Times New Roman" w:cs="Times New Roman"/>
          <w:color w:val="0B0C0C"/>
          <w:sz w:val="22"/>
          <w:szCs w:val="22"/>
          <w:shd w:val="clear" w:color="auto" w:fill="FFFFFF"/>
        </w:rPr>
        <w:t xml:space="preserve">services at </w:t>
      </w:r>
      <w:r w:rsidR="00153AC6" w:rsidRPr="000F5113">
        <w:rPr>
          <w:rFonts w:eastAsia="Times New Roman" w:cs="Times New Roman"/>
          <w:color w:val="0B0C0C"/>
          <w:sz w:val="22"/>
          <w:szCs w:val="22"/>
          <w:shd w:val="clear" w:color="auto" w:fill="FFFFFF"/>
        </w:rPr>
        <w:t>place level.</w:t>
      </w:r>
      <w:r w:rsidR="00F94497" w:rsidRPr="000F5113">
        <w:rPr>
          <w:rFonts w:eastAsia="Times New Roman" w:cs="Times New Roman"/>
          <w:color w:val="0B0C0C"/>
          <w:sz w:val="22"/>
          <w:szCs w:val="22"/>
          <w:shd w:val="clear" w:color="auto" w:fill="FFFFFF"/>
        </w:rPr>
        <w:t xml:space="preserve">  </w:t>
      </w:r>
      <w:r w:rsidR="00F94497" w:rsidRPr="000F5113">
        <w:rPr>
          <w:rFonts w:eastAsia="Times New Roman" w:cs="Times New Roman"/>
          <w:sz w:val="22"/>
          <w:szCs w:val="22"/>
          <w:shd w:val="clear" w:color="auto" w:fill="FFFFFF"/>
        </w:rPr>
        <w:t>This is a significant example of where the practical / legal issues are barely addressed.</w:t>
      </w:r>
    </w:p>
    <w:p w14:paraId="111D099C" w14:textId="77777777" w:rsidR="00F07A4B" w:rsidRPr="000F5113" w:rsidRDefault="00F07A4B" w:rsidP="000162CD">
      <w:pPr>
        <w:rPr>
          <w:rFonts w:eastAsia="Times New Roman" w:cs="Times New Roman"/>
          <w:color w:val="FF0000"/>
          <w:sz w:val="22"/>
          <w:szCs w:val="22"/>
          <w:shd w:val="clear" w:color="auto" w:fill="FFFFFF"/>
        </w:rPr>
      </w:pPr>
    </w:p>
    <w:p w14:paraId="673B081F" w14:textId="4B9177A1" w:rsidR="00F07A4B" w:rsidRPr="000F5113" w:rsidRDefault="00D72158" w:rsidP="000162CD">
      <w:pPr>
        <w:rPr>
          <w:rFonts w:eastAsia="Times New Roman" w:cs="Times New Roman"/>
          <w:sz w:val="22"/>
          <w:szCs w:val="22"/>
        </w:rPr>
      </w:pPr>
      <w:r w:rsidRPr="000F5113">
        <w:rPr>
          <w:rFonts w:eastAsia="Times New Roman" w:cs="Times New Roman"/>
          <w:sz w:val="22"/>
          <w:szCs w:val="22"/>
          <w:shd w:val="clear" w:color="auto" w:fill="FFFFFF"/>
        </w:rPr>
        <w:t xml:space="preserve">The White Paper refers to ‘partners’, e.g. on the place board, without clarifying whether these can include representatives from the private sector.  </w:t>
      </w:r>
    </w:p>
    <w:p w14:paraId="2039F6F4" w14:textId="77777777" w:rsidR="008D4814" w:rsidRPr="000F5113" w:rsidRDefault="008D4814">
      <w:pPr>
        <w:rPr>
          <w:rFonts w:cs="Times New Roman"/>
          <w:sz w:val="22"/>
          <w:szCs w:val="22"/>
        </w:rPr>
      </w:pPr>
    </w:p>
    <w:p w14:paraId="15B6ED72" w14:textId="52587BBD" w:rsidR="000162CD" w:rsidRPr="000F5113" w:rsidRDefault="00D50D1B">
      <w:pPr>
        <w:rPr>
          <w:rFonts w:cs="Times New Roman"/>
          <w:sz w:val="22"/>
          <w:szCs w:val="22"/>
        </w:rPr>
      </w:pPr>
      <w:r w:rsidRPr="000F5113">
        <w:rPr>
          <w:rFonts w:cs="Times New Roman"/>
          <w:sz w:val="22"/>
          <w:szCs w:val="22"/>
        </w:rPr>
        <w:t xml:space="preserve">The proposals </w:t>
      </w:r>
      <w:r w:rsidR="00D72158" w:rsidRPr="000F5113">
        <w:rPr>
          <w:rFonts w:cs="Times New Roman"/>
          <w:sz w:val="22"/>
          <w:szCs w:val="22"/>
        </w:rPr>
        <w:t xml:space="preserve">strongly </w:t>
      </w:r>
      <w:r w:rsidRPr="000F5113">
        <w:rPr>
          <w:rFonts w:cs="Times New Roman"/>
          <w:sz w:val="22"/>
          <w:szCs w:val="22"/>
        </w:rPr>
        <w:t xml:space="preserve">reaffirm the government’s commitment to personal health budgets, personal budgets and integrated personal budgets as a means of integrating services for individuals. </w:t>
      </w:r>
    </w:p>
    <w:p w14:paraId="2CF739D4" w14:textId="65A8D321" w:rsidR="00805D72" w:rsidRPr="000F5113" w:rsidRDefault="00332FF9" w:rsidP="00FD08B6">
      <w:pPr>
        <w:pStyle w:val="NormalWeb"/>
        <w:rPr>
          <w:rFonts w:asciiTheme="minorHAnsi" w:hAnsiTheme="minorHAnsi"/>
          <w:sz w:val="22"/>
          <w:szCs w:val="22"/>
        </w:rPr>
      </w:pPr>
      <w:r w:rsidRPr="000F5113">
        <w:rPr>
          <w:rFonts w:asciiTheme="minorHAnsi" w:hAnsiTheme="minorHAnsi"/>
          <w:sz w:val="22"/>
          <w:szCs w:val="22"/>
        </w:rPr>
        <w:t xml:space="preserve">Significantly, although the Health and Care </w:t>
      </w:r>
      <w:r w:rsidR="00E408BF" w:rsidRPr="000F5113">
        <w:rPr>
          <w:rFonts w:asciiTheme="minorHAnsi" w:hAnsiTheme="minorHAnsi"/>
          <w:sz w:val="22"/>
          <w:szCs w:val="22"/>
        </w:rPr>
        <w:t>Bill</w:t>
      </w:r>
      <w:r w:rsidR="000E2812" w:rsidRPr="000F5113">
        <w:rPr>
          <w:rFonts w:asciiTheme="minorHAnsi" w:hAnsiTheme="minorHAnsi"/>
          <w:sz w:val="22"/>
          <w:szCs w:val="22"/>
        </w:rPr>
        <w:t>, if passed, makes ICS</w:t>
      </w:r>
      <w:r w:rsidR="009D7694" w:rsidRPr="000F5113">
        <w:rPr>
          <w:rFonts w:asciiTheme="minorHAnsi" w:hAnsiTheme="minorHAnsi"/>
          <w:sz w:val="22"/>
          <w:szCs w:val="22"/>
        </w:rPr>
        <w:t xml:space="preserve"> ICB and ICP statutory bodies, </w:t>
      </w:r>
      <w:r w:rsidR="00FD08B6" w:rsidRPr="000F5113">
        <w:rPr>
          <w:rFonts w:asciiTheme="minorHAnsi" w:hAnsiTheme="minorHAnsi"/>
          <w:sz w:val="22"/>
          <w:szCs w:val="22"/>
        </w:rPr>
        <w:t xml:space="preserve">‘places’ will not of themselves </w:t>
      </w:r>
      <w:r w:rsidR="009D7694" w:rsidRPr="000F5113">
        <w:rPr>
          <w:rFonts w:asciiTheme="minorHAnsi" w:hAnsiTheme="minorHAnsi"/>
          <w:sz w:val="22"/>
          <w:szCs w:val="22"/>
        </w:rPr>
        <w:t>have statutory authority</w:t>
      </w:r>
      <w:r w:rsidRPr="000F5113">
        <w:rPr>
          <w:rFonts w:asciiTheme="minorHAnsi" w:hAnsiTheme="minorHAnsi"/>
          <w:sz w:val="22"/>
          <w:szCs w:val="22"/>
        </w:rPr>
        <w:t xml:space="preserve">. </w:t>
      </w:r>
      <w:r w:rsidR="00FD08B6" w:rsidRPr="000F5113">
        <w:rPr>
          <w:rFonts w:asciiTheme="minorHAnsi" w:hAnsiTheme="minorHAnsi"/>
          <w:sz w:val="22"/>
          <w:szCs w:val="22"/>
        </w:rPr>
        <w:t xml:space="preserve"> They may </w:t>
      </w:r>
      <w:r w:rsidR="003D2046" w:rsidRPr="000F5113">
        <w:rPr>
          <w:rFonts w:asciiTheme="minorHAnsi" w:hAnsiTheme="minorHAnsi"/>
          <w:sz w:val="22"/>
          <w:szCs w:val="22"/>
        </w:rPr>
        <w:t xml:space="preserve">undertake </w:t>
      </w:r>
      <w:r w:rsidR="00FD08B6" w:rsidRPr="000F5113">
        <w:rPr>
          <w:rFonts w:asciiTheme="minorHAnsi" w:hAnsiTheme="minorHAnsi"/>
          <w:sz w:val="22"/>
          <w:szCs w:val="22"/>
        </w:rPr>
        <w:t xml:space="preserve">statutory functions delegated by the </w:t>
      </w:r>
      <w:r w:rsidR="00E408BF" w:rsidRPr="000F5113">
        <w:rPr>
          <w:rFonts w:asciiTheme="minorHAnsi" w:hAnsiTheme="minorHAnsi"/>
          <w:sz w:val="22"/>
          <w:szCs w:val="22"/>
        </w:rPr>
        <w:t>ICS’s statutory bodies, but place</w:t>
      </w:r>
      <w:r w:rsidR="00FD08B6" w:rsidRPr="000F5113">
        <w:rPr>
          <w:rFonts w:asciiTheme="minorHAnsi" w:hAnsiTheme="minorHAnsi"/>
          <w:sz w:val="22"/>
          <w:szCs w:val="22"/>
        </w:rPr>
        <w:t xml:space="preserve">s will also be able to take on </w:t>
      </w:r>
      <w:r w:rsidR="00805D72" w:rsidRPr="000F5113">
        <w:rPr>
          <w:rFonts w:asciiTheme="minorHAnsi" w:hAnsiTheme="minorHAnsi"/>
          <w:sz w:val="22"/>
          <w:szCs w:val="22"/>
        </w:rPr>
        <w:t>“</w:t>
      </w:r>
      <w:r w:rsidR="00FD08B6" w:rsidRPr="000F5113">
        <w:rPr>
          <w:rFonts w:asciiTheme="minorHAnsi" w:hAnsiTheme="minorHAnsi"/>
          <w:sz w:val="22"/>
          <w:szCs w:val="22"/>
        </w:rPr>
        <w:t>a significant a</w:t>
      </w:r>
      <w:r w:rsidR="003D2046" w:rsidRPr="000F5113">
        <w:rPr>
          <w:rFonts w:asciiTheme="minorHAnsi" w:hAnsiTheme="minorHAnsi"/>
          <w:sz w:val="22"/>
          <w:szCs w:val="22"/>
        </w:rPr>
        <w:t>mount of system decision-making</w:t>
      </w:r>
      <w:r w:rsidR="00203B94" w:rsidRPr="000F5113">
        <w:rPr>
          <w:rFonts w:asciiTheme="minorHAnsi" w:hAnsiTheme="minorHAnsi"/>
          <w:sz w:val="22"/>
          <w:szCs w:val="22"/>
        </w:rPr>
        <w:t>”</w:t>
      </w:r>
      <w:r w:rsidR="003D2046" w:rsidRPr="000F5113">
        <w:rPr>
          <w:rFonts w:asciiTheme="minorHAnsi" w:hAnsiTheme="minorHAnsi"/>
          <w:sz w:val="22"/>
          <w:szCs w:val="22"/>
        </w:rPr>
        <w:t xml:space="preserve"> </w:t>
      </w:r>
      <w:r w:rsidR="00FD08B6" w:rsidRPr="000F5113">
        <w:rPr>
          <w:rFonts w:asciiTheme="minorHAnsi" w:hAnsiTheme="minorHAnsi"/>
          <w:sz w:val="22"/>
          <w:szCs w:val="22"/>
        </w:rPr>
        <w:t>in</w:t>
      </w:r>
      <w:r w:rsidR="003D2046" w:rsidRPr="000F5113">
        <w:rPr>
          <w:rFonts w:asciiTheme="minorHAnsi" w:hAnsiTheme="minorHAnsi"/>
          <w:sz w:val="22"/>
          <w:szCs w:val="22"/>
        </w:rPr>
        <w:t xml:space="preserve"> their own </w:t>
      </w:r>
      <w:r w:rsidR="003D2046" w:rsidRPr="000F5113">
        <w:rPr>
          <w:rFonts w:asciiTheme="minorHAnsi" w:hAnsiTheme="minorHAnsi"/>
          <w:sz w:val="22"/>
          <w:szCs w:val="22"/>
        </w:rPr>
        <w:lastRenderedPageBreak/>
        <w:t>right</w:t>
      </w:r>
      <w:r w:rsidR="00FD08B6" w:rsidRPr="000F5113">
        <w:rPr>
          <w:rFonts w:asciiTheme="minorHAnsi" w:hAnsiTheme="minorHAnsi"/>
          <w:sz w:val="22"/>
          <w:szCs w:val="22"/>
        </w:rPr>
        <w:t>.</w:t>
      </w:r>
      <w:r w:rsidR="00805D72" w:rsidRPr="000F5113">
        <w:rPr>
          <w:rStyle w:val="FootnoteReference"/>
          <w:rFonts w:asciiTheme="minorHAnsi" w:hAnsiTheme="minorHAnsi"/>
          <w:sz w:val="22"/>
          <w:szCs w:val="22"/>
        </w:rPr>
        <w:footnoteReference w:id="1"/>
      </w:r>
      <w:r w:rsidR="00E408BF" w:rsidRPr="000F5113">
        <w:rPr>
          <w:rFonts w:asciiTheme="minorHAnsi" w:hAnsiTheme="minorHAnsi"/>
          <w:sz w:val="22"/>
          <w:szCs w:val="22"/>
        </w:rPr>
        <w:t xml:space="preserve"> Significantly, the Bill does not set out fixed arrangements for the governance of place-based working.</w:t>
      </w:r>
    </w:p>
    <w:p w14:paraId="71B8A1D4" w14:textId="5175A691" w:rsidR="00A26749" w:rsidRPr="000F5113" w:rsidRDefault="000162CD" w:rsidP="001B38C0">
      <w:pPr>
        <w:pStyle w:val="NormalWeb"/>
        <w:rPr>
          <w:rFonts w:asciiTheme="minorHAnsi" w:hAnsiTheme="minorHAnsi"/>
          <w:sz w:val="22"/>
          <w:szCs w:val="22"/>
        </w:rPr>
      </w:pPr>
      <w:r w:rsidRPr="000F5113">
        <w:rPr>
          <w:rFonts w:asciiTheme="minorHAnsi" w:hAnsiTheme="minorHAnsi"/>
          <w:sz w:val="22"/>
          <w:szCs w:val="22"/>
        </w:rPr>
        <w:t xml:space="preserve">The ICP is mentioned only three times in the White Paper, and only then in passing.  </w:t>
      </w:r>
    </w:p>
    <w:p w14:paraId="2E2FE3F0" w14:textId="2983DD92" w:rsidR="00BA5579" w:rsidRPr="000F5113" w:rsidRDefault="000162CD">
      <w:pPr>
        <w:rPr>
          <w:rFonts w:cs="Times New Roman"/>
          <w:b/>
          <w:strike/>
          <w:color w:val="FF0000"/>
          <w:sz w:val="22"/>
          <w:szCs w:val="22"/>
        </w:rPr>
      </w:pPr>
      <w:r w:rsidRPr="000F5113">
        <w:rPr>
          <w:rFonts w:cs="Times New Roman"/>
          <w:b/>
          <w:sz w:val="22"/>
          <w:szCs w:val="22"/>
        </w:rPr>
        <w:t xml:space="preserve">3. </w:t>
      </w:r>
      <w:r w:rsidR="0084111D" w:rsidRPr="000F5113">
        <w:rPr>
          <w:rFonts w:cs="Times New Roman"/>
          <w:b/>
          <w:sz w:val="22"/>
          <w:szCs w:val="22"/>
        </w:rPr>
        <w:t>The m</w:t>
      </w:r>
      <w:r w:rsidR="00A26749" w:rsidRPr="000F5113">
        <w:rPr>
          <w:rFonts w:cs="Times New Roman"/>
          <w:b/>
          <w:sz w:val="22"/>
          <w:szCs w:val="22"/>
        </w:rPr>
        <w:t>ain issue</w:t>
      </w:r>
      <w:r w:rsidR="00805D72" w:rsidRPr="000F5113">
        <w:rPr>
          <w:rFonts w:cs="Times New Roman"/>
          <w:b/>
          <w:sz w:val="22"/>
          <w:szCs w:val="22"/>
        </w:rPr>
        <w:t>s</w:t>
      </w:r>
    </w:p>
    <w:p w14:paraId="62E903AD" w14:textId="77777777" w:rsidR="00E52F57" w:rsidRPr="000F5113" w:rsidRDefault="00E52F57">
      <w:pPr>
        <w:rPr>
          <w:rFonts w:cs="Times New Roman"/>
          <w:b/>
          <w:bCs/>
          <w:sz w:val="22"/>
          <w:szCs w:val="22"/>
        </w:rPr>
      </w:pPr>
    </w:p>
    <w:p w14:paraId="2033E26A" w14:textId="0C0E14BC" w:rsidR="008E4429" w:rsidRPr="000F5113" w:rsidRDefault="00BA5579">
      <w:pPr>
        <w:rPr>
          <w:rFonts w:cs="Times New Roman"/>
          <w:b/>
          <w:bCs/>
          <w:sz w:val="22"/>
          <w:szCs w:val="22"/>
        </w:rPr>
      </w:pPr>
      <w:r w:rsidRPr="000F5113">
        <w:rPr>
          <w:rFonts w:cs="Times New Roman"/>
          <w:b/>
          <w:bCs/>
          <w:sz w:val="22"/>
          <w:szCs w:val="22"/>
        </w:rPr>
        <w:t xml:space="preserve">3.1 </w:t>
      </w:r>
      <w:r w:rsidR="008E4429" w:rsidRPr="000F5113">
        <w:rPr>
          <w:rFonts w:cs="Times New Roman"/>
          <w:b/>
          <w:bCs/>
          <w:sz w:val="22"/>
          <w:szCs w:val="22"/>
        </w:rPr>
        <w:t>Places</w:t>
      </w:r>
    </w:p>
    <w:p w14:paraId="5847860E" w14:textId="17EDFDF2" w:rsidR="00A26749" w:rsidRPr="000F5113" w:rsidRDefault="00A26749">
      <w:pPr>
        <w:rPr>
          <w:rFonts w:cs="Times New Roman"/>
          <w:sz w:val="22"/>
          <w:szCs w:val="22"/>
        </w:rPr>
      </w:pPr>
      <w:r w:rsidRPr="000F5113">
        <w:rPr>
          <w:rFonts w:cs="Times New Roman"/>
          <w:sz w:val="22"/>
          <w:szCs w:val="22"/>
        </w:rPr>
        <w:t xml:space="preserve">All local areas will be </w:t>
      </w:r>
      <w:r w:rsidR="002640AA" w:rsidRPr="000F5113">
        <w:rPr>
          <w:rFonts w:cs="Times New Roman"/>
          <w:sz w:val="22"/>
          <w:szCs w:val="22"/>
        </w:rPr>
        <w:t xml:space="preserve">expected to </w:t>
      </w:r>
      <w:r w:rsidRPr="000F5113">
        <w:rPr>
          <w:rFonts w:cs="Times New Roman"/>
          <w:sz w:val="22"/>
          <w:szCs w:val="22"/>
        </w:rPr>
        <w:t xml:space="preserve">make place-based arrangements to integrate NHS and </w:t>
      </w:r>
      <w:r w:rsidR="002640AA" w:rsidRPr="000F5113">
        <w:rPr>
          <w:rFonts w:cs="Times New Roman"/>
          <w:sz w:val="22"/>
          <w:szCs w:val="22"/>
        </w:rPr>
        <w:t>local authority</w:t>
      </w:r>
      <w:r w:rsidR="008D4814" w:rsidRPr="000F5113">
        <w:rPr>
          <w:rFonts w:cs="Times New Roman"/>
          <w:sz w:val="22"/>
          <w:szCs w:val="22"/>
        </w:rPr>
        <w:t xml:space="preserve"> (LA)</w:t>
      </w:r>
      <w:r w:rsidR="00D65BB3" w:rsidRPr="000F5113">
        <w:rPr>
          <w:rFonts w:cs="Times New Roman"/>
          <w:sz w:val="22"/>
          <w:szCs w:val="22"/>
        </w:rPr>
        <w:t xml:space="preserve"> working</w:t>
      </w:r>
      <w:r w:rsidRPr="000F5113">
        <w:rPr>
          <w:rFonts w:cs="Times New Roman"/>
          <w:sz w:val="22"/>
          <w:szCs w:val="22"/>
        </w:rPr>
        <w:t xml:space="preserve">. </w:t>
      </w:r>
      <w:r w:rsidR="00D65BB3" w:rsidRPr="000F5113">
        <w:rPr>
          <w:rFonts w:cs="Times New Roman"/>
          <w:sz w:val="22"/>
          <w:szCs w:val="22"/>
        </w:rPr>
        <w:t xml:space="preserve">Responsibilities at place level </w:t>
      </w:r>
      <w:r w:rsidRPr="000F5113">
        <w:rPr>
          <w:rFonts w:cs="Times New Roman"/>
          <w:sz w:val="22"/>
          <w:szCs w:val="22"/>
        </w:rPr>
        <w:t xml:space="preserve">will include </w:t>
      </w:r>
      <w:r w:rsidR="00D65BB3" w:rsidRPr="000F5113">
        <w:rPr>
          <w:rFonts w:cs="Times New Roman"/>
          <w:sz w:val="22"/>
          <w:szCs w:val="22"/>
        </w:rPr>
        <w:t xml:space="preserve">the </w:t>
      </w:r>
      <w:r w:rsidRPr="000F5113">
        <w:rPr>
          <w:rFonts w:cs="Times New Roman"/>
          <w:sz w:val="22"/>
          <w:szCs w:val="22"/>
        </w:rPr>
        <w:t>commissioning and deliver</w:t>
      </w:r>
      <w:r w:rsidR="0084111D" w:rsidRPr="000F5113">
        <w:rPr>
          <w:rFonts w:cs="Times New Roman"/>
          <w:sz w:val="22"/>
          <w:szCs w:val="22"/>
        </w:rPr>
        <w:t xml:space="preserve">y of health and care services, </w:t>
      </w:r>
      <w:r w:rsidRPr="000F5113">
        <w:rPr>
          <w:rFonts w:cs="Times New Roman"/>
          <w:sz w:val="22"/>
          <w:szCs w:val="22"/>
        </w:rPr>
        <w:t>agreeing shared outcomes</w:t>
      </w:r>
      <w:r w:rsidR="005517BB" w:rsidRPr="000F5113">
        <w:rPr>
          <w:rFonts w:cs="Times New Roman"/>
          <w:sz w:val="22"/>
          <w:szCs w:val="22"/>
        </w:rPr>
        <w:t xml:space="preserve"> (i.e. </w:t>
      </w:r>
      <w:r w:rsidR="00D72158" w:rsidRPr="000F5113">
        <w:rPr>
          <w:rFonts w:cs="Times New Roman"/>
          <w:sz w:val="22"/>
          <w:szCs w:val="22"/>
        </w:rPr>
        <w:t>in addition</w:t>
      </w:r>
      <w:r w:rsidR="005517BB" w:rsidRPr="000F5113">
        <w:rPr>
          <w:rFonts w:cs="Times New Roman"/>
          <w:sz w:val="22"/>
          <w:szCs w:val="22"/>
        </w:rPr>
        <w:t xml:space="preserve"> to nationally set outcomes) </w:t>
      </w:r>
      <w:r w:rsidRPr="000F5113">
        <w:rPr>
          <w:rFonts w:cs="Times New Roman"/>
          <w:sz w:val="22"/>
          <w:szCs w:val="22"/>
        </w:rPr>
        <w:t>and being accountable for these outcomes.</w:t>
      </w:r>
    </w:p>
    <w:p w14:paraId="52F83C3B" w14:textId="77777777" w:rsidR="005950A9" w:rsidRPr="000F5113" w:rsidRDefault="005950A9">
      <w:pPr>
        <w:rPr>
          <w:rFonts w:cs="Times New Roman"/>
          <w:color w:val="3366FF"/>
          <w:sz w:val="22"/>
          <w:szCs w:val="22"/>
        </w:rPr>
      </w:pPr>
    </w:p>
    <w:p w14:paraId="06938FF7" w14:textId="77777777" w:rsidR="00D72158" w:rsidRPr="000F5113" w:rsidRDefault="005950A9" w:rsidP="005950A9">
      <w:pPr>
        <w:rPr>
          <w:rFonts w:cs="Times New Roman"/>
          <w:sz w:val="22"/>
          <w:szCs w:val="22"/>
        </w:rPr>
      </w:pPr>
      <w:r w:rsidRPr="000F5113">
        <w:rPr>
          <w:rFonts w:cs="Times New Roman"/>
          <w:sz w:val="22"/>
          <w:szCs w:val="22"/>
        </w:rPr>
        <w:t xml:space="preserve">Although the strategic level is said to remain at ICB level (or what the White Paper </w:t>
      </w:r>
      <w:r w:rsidR="00D72158" w:rsidRPr="000F5113">
        <w:rPr>
          <w:rFonts w:cs="Times New Roman"/>
          <w:sz w:val="22"/>
          <w:szCs w:val="22"/>
        </w:rPr>
        <w:t xml:space="preserve">often </w:t>
      </w:r>
      <w:r w:rsidRPr="000F5113">
        <w:rPr>
          <w:rFonts w:cs="Times New Roman"/>
          <w:sz w:val="22"/>
          <w:szCs w:val="22"/>
        </w:rPr>
        <w:t xml:space="preserve">refers to as ICS level), “places will be the engine for delivery and reform.” That said, there is a significant lack of clarity about </w:t>
      </w:r>
    </w:p>
    <w:p w14:paraId="2635C207" w14:textId="3824B477" w:rsidR="00D72158" w:rsidRPr="000F5113" w:rsidRDefault="00BA5579" w:rsidP="00D72158">
      <w:pPr>
        <w:ind w:left="720"/>
        <w:rPr>
          <w:rFonts w:cs="Times New Roman"/>
          <w:sz w:val="22"/>
          <w:szCs w:val="22"/>
        </w:rPr>
      </w:pPr>
      <w:r w:rsidRPr="000F5113">
        <w:rPr>
          <w:rFonts w:cs="Times New Roman"/>
          <w:sz w:val="22"/>
          <w:szCs w:val="22"/>
        </w:rPr>
        <w:t>a</w:t>
      </w:r>
      <w:r w:rsidR="00BF3937" w:rsidRPr="000F5113">
        <w:rPr>
          <w:rFonts w:cs="Times New Roman"/>
          <w:sz w:val="22"/>
          <w:szCs w:val="22"/>
        </w:rPr>
        <w:t xml:space="preserve">) </w:t>
      </w:r>
      <w:r w:rsidR="005950A9" w:rsidRPr="000F5113">
        <w:rPr>
          <w:rFonts w:cs="Times New Roman"/>
          <w:sz w:val="22"/>
          <w:szCs w:val="22"/>
        </w:rPr>
        <w:t>the accountability for dec</w:t>
      </w:r>
      <w:r w:rsidR="00BF3937" w:rsidRPr="000F5113">
        <w:rPr>
          <w:rFonts w:cs="Times New Roman"/>
          <w:sz w:val="22"/>
          <w:szCs w:val="22"/>
        </w:rPr>
        <w:t xml:space="preserve">ision making at place level, and </w:t>
      </w:r>
    </w:p>
    <w:p w14:paraId="68E47903" w14:textId="29357FD7" w:rsidR="00D72158" w:rsidRPr="000F5113" w:rsidRDefault="00BA5579" w:rsidP="00D72158">
      <w:pPr>
        <w:ind w:left="720"/>
        <w:rPr>
          <w:rFonts w:cs="Times New Roman"/>
          <w:sz w:val="22"/>
          <w:szCs w:val="22"/>
        </w:rPr>
      </w:pPr>
      <w:r w:rsidRPr="000F5113">
        <w:rPr>
          <w:rFonts w:cs="Times New Roman"/>
          <w:sz w:val="22"/>
          <w:szCs w:val="22"/>
        </w:rPr>
        <w:t>b</w:t>
      </w:r>
      <w:r w:rsidR="00BF3937" w:rsidRPr="000F5113">
        <w:rPr>
          <w:rFonts w:cs="Times New Roman"/>
          <w:sz w:val="22"/>
          <w:szCs w:val="22"/>
        </w:rPr>
        <w:t xml:space="preserve">) how the different focus and responsibilities of local authorities and the NHS can be integrated at place level. </w:t>
      </w:r>
    </w:p>
    <w:p w14:paraId="5726FB77" w14:textId="20034D05" w:rsidR="005950A9" w:rsidRPr="000F5113" w:rsidRDefault="00BF3937" w:rsidP="005950A9">
      <w:pPr>
        <w:rPr>
          <w:rFonts w:cs="Times New Roman"/>
          <w:sz w:val="22"/>
          <w:szCs w:val="22"/>
        </w:rPr>
      </w:pPr>
      <w:r w:rsidRPr="000F5113">
        <w:rPr>
          <w:rFonts w:cs="Times New Roman"/>
          <w:sz w:val="22"/>
          <w:szCs w:val="22"/>
        </w:rPr>
        <w:t xml:space="preserve">In addition, the White Paper omits any mention or clarification of the role of private providers at place level. </w:t>
      </w:r>
    </w:p>
    <w:p w14:paraId="4AEEBC6C" w14:textId="77777777" w:rsidR="00A26749" w:rsidRPr="000F5113" w:rsidRDefault="00A26749">
      <w:pPr>
        <w:rPr>
          <w:rFonts w:cs="Times New Roman"/>
          <w:sz w:val="22"/>
          <w:szCs w:val="22"/>
        </w:rPr>
      </w:pPr>
    </w:p>
    <w:p w14:paraId="478BAA38" w14:textId="2DFEB3C5" w:rsidR="001F4AF9" w:rsidRPr="000F5113" w:rsidRDefault="001F4AF9" w:rsidP="001F4AF9">
      <w:pPr>
        <w:pStyle w:val="NormalWeb"/>
        <w:shd w:val="clear" w:color="auto" w:fill="FFFFFF"/>
        <w:spacing w:before="0" w:beforeAutospacing="0" w:after="0" w:afterAutospacing="0"/>
        <w:rPr>
          <w:rFonts w:asciiTheme="minorHAnsi" w:hAnsiTheme="minorHAnsi"/>
          <w:sz w:val="22"/>
          <w:szCs w:val="22"/>
        </w:rPr>
      </w:pPr>
      <w:r w:rsidRPr="000F5113">
        <w:rPr>
          <w:rFonts w:asciiTheme="minorHAnsi" w:hAnsiTheme="minorHAnsi"/>
          <w:sz w:val="22"/>
          <w:szCs w:val="22"/>
        </w:rPr>
        <w:t xml:space="preserve">NHS Providers </w:t>
      </w:r>
      <w:r w:rsidR="00332FF9" w:rsidRPr="000F5113">
        <w:rPr>
          <w:rFonts w:asciiTheme="minorHAnsi" w:hAnsiTheme="minorHAnsi"/>
          <w:sz w:val="22"/>
          <w:szCs w:val="22"/>
        </w:rPr>
        <w:t>are concerned “</w:t>
      </w:r>
      <w:r w:rsidRPr="000F5113">
        <w:rPr>
          <w:rFonts w:asciiTheme="minorHAnsi" w:hAnsiTheme="minorHAnsi"/>
          <w:sz w:val="22"/>
          <w:szCs w:val="22"/>
        </w:rPr>
        <w:t>that, by setting national expectations at place level, the white paper risks cutting across the bill and role of ICSs.”</w:t>
      </w:r>
    </w:p>
    <w:p w14:paraId="362AEB84" w14:textId="393DD055" w:rsidR="001F4AF9" w:rsidRPr="000F5113" w:rsidRDefault="001F4AF9">
      <w:pPr>
        <w:rPr>
          <w:rFonts w:cs="Times New Roman"/>
          <w:sz w:val="22"/>
          <w:szCs w:val="22"/>
        </w:rPr>
      </w:pPr>
    </w:p>
    <w:p w14:paraId="2C1B5D4B" w14:textId="4747FA76" w:rsidR="005517BB" w:rsidRPr="000F5113" w:rsidRDefault="00BA5579">
      <w:pPr>
        <w:rPr>
          <w:rFonts w:cs="Times New Roman"/>
          <w:i/>
          <w:sz w:val="22"/>
          <w:szCs w:val="22"/>
        </w:rPr>
      </w:pPr>
      <w:r w:rsidRPr="000F5113">
        <w:rPr>
          <w:rFonts w:cs="Times New Roman"/>
          <w:i/>
          <w:sz w:val="22"/>
          <w:szCs w:val="22"/>
        </w:rPr>
        <w:t>a</w:t>
      </w:r>
      <w:r w:rsidR="00BF3937" w:rsidRPr="000F5113">
        <w:rPr>
          <w:rFonts w:cs="Times New Roman"/>
          <w:i/>
          <w:sz w:val="22"/>
          <w:szCs w:val="22"/>
        </w:rPr>
        <w:t xml:space="preserve">) </w:t>
      </w:r>
      <w:r w:rsidR="005517BB" w:rsidRPr="000F5113">
        <w:rPr>
          <w:rFonts w:cs="Times New Roman"/>
          <w:i/>
          <w:sz w:val="22"/>
          <w:szCs w:val="22"/>
        </w:rPr>
        <w:t>Governance and accountability</w:t>
      </w:r>
    </w:p>
    <w:p w14:paraId="0AEB8F24" w14:textId="121ADA35" w:rsidR="00913BFD" w:rsidRPr="000F5113" w:rsidRDefault="00A26749">
      <w:pPr>
        <w:rPr>
          <w:rFonts w:cs="Times New Roman"/>
          <w:sz w:val="22"/>
          <w:szCs w:val="22"/>
        </w:rPr>
      </w:pPr>
      <w:r w:rsidRPr="000F5113">
        <w:rPr>
          <w:rFonts w:cs="Times New Roman"/>
          <w:sz w:val="22"/>
          <w:szCs w:val="22"/>
        </w:rPr>
        <w:t>Places</w:t>
      </w:r>
      <w:r w:rsidRPr="000F5113">
        <w:rPr>
          <w:rFonts w:cs="Times New Roman"/>
          <w:b/>
          <w:sz w:val="22"/>
          <w:szCs w:val="22"/>
        </w:rPr>
        <w:t xml:space="preserve"> </w:t>
      </w:r>
      <w:r w:rsidRPr="000F5113">
        <w:rPr>
          <w:rFonts w:cs="Times New Roman"/>
          <w:sz w:val="22"/>
          <w:szCs w:val="22"/>
        </w:rPr>
        <w:t xml:space="preserve">will be able to decide which accountability model to adopt but </w:t>
      </w:r>
      <w:r w:rsidR="00913BFD" w:rsidRPr="000F5113">
        <w:rPr>
          <w:rFonts w:cs="Times New Roman"/>
          <w:sz w:val="22"/>
          <w:szCs w:val="22"/>
        </w:rPr>
        <w:t xml:space="preserve">the </w:t>
      </w:r>
      <w:r w:rsidR="00332FF9" w:rsidRPr="000F5113">
        <w:rPr>
          <w:rFonts w:cs="Times New Roman"/>
          <w:sz w:val="22"/>
          <w:szCs w:val="22"/>
        </w:rPr>
        <w:t xml:space="preserve">WP provides </w:t>
      </w:r>
      <w:r w:rsidRPr="000F5113">
        <w:rPr>
          <w:rFonts w:cs="Times New Roman"/>
          <w:sz w:val="22"/>
          <w:szCs w:val="22"/>
        </w:rPr>
        <w:t>the ‘place board model’</w:t>
      </w:r>
      <w:r w:rsidR="00332FF9" w:rsidRPr="000F5113">
        <w:rPr>
          <w:rFonts w:cs="Times New Roman"/>
          <w:sz w:val="22"/>
          <w:szCs w:val="22"/>
        </w:rPr>
        <w:t xml:space="preserve"> as an example</w:t>
      </w:r>
      <w:r w:rsidRPr="000F5113">
        <w:rPr>
          <w:rFonts w:cs="Times New Roman"/>
          <w:sz w:val="22"/>
          <w:szCs w:val="22"/>
        </w:rPr>
        <w:t xml:space="preserve">.  This brings together ‘partner organisations’ to pool resources, </w:t>
      </w:r>
      <w:r w:rsidR="005517BB" w:rsidRPr="000F5113">
        <w:rPr>
          <w:rFonts w:cs="Times New Roman"/>
          <w:sz w:val="22"/>
          <w:szCs w:val="22"/>
        </w:rPr>
        <w:t xml:space="preserve">make decisions and plan jointly. A </w:t>
      </w:r>
      <w:r w:rsidRPr="000F5113">
        <w:rPr>
          <w:rFonts w:cs="Times New Roman"/>
          <w:sz w:val="22"/>
          <w:szCs w:val="22"/>
        </w:rPr>
        <w:t xml:space="preserve">single person </w:t>
      </w:r>
      <w:r w:rsidR="005517BB" w:rsidRPr="000F5113">
        <w:rPr>
          <w:rFonts w:cs="Times New Roman"/>
          <w:sz w:val="22"/>
          <w:szCs w:val="22"/>
        </w:rPr>
        <w:t xml:space="preserve">will be </w:t>
      </w:r>
      <w:r w:rsidRPr="000F5113">
        <w:rPr>
          <w:rFonts w:cs="Times New Roman"/>
          <w:sz w:val="22"/>
          <w:szCs w:val="22"/>
        </w:rPr>
        <w:t>accountable for the deliver</w:t>
      </w:r>
      <w:r w:rsidR="00913BFD" w:rsidRPr="000F5113">
        <w:rPr>
          <w:rFonts w:cs="Times New Roman"/>
          <w:sz w:val="22"/>
          <w:szCs w:val="22"/>
        </w:rPr>
        <w:t>y</w:t>
      </w:r>
      <w:r w:rsidRPr="000F5113">
        <w:rPr>
          <w:rFonts w:cs="Times New Roman"/>
          <w:sz w:val="22"/>
          <w:szCs w:val="22"/>
        </w:rPr>
        <w:t xml:space="preserve"> of shared outcomes and plans</w:t>
      </w:r>
      <w:r w:rsidR="00D65BB3" w:rsidRPr="000F5113">
        <w:rPr>
          <w:rFonts w:cs="Times New Roman"/>
          <w:sz w:val="22"/>
          <w:szCs w:val="22"/>
        </w:rPr>
        <w:t xml:space="preserve">, working with local, unspecified </w:t>
      </w:r>
      <w:r w:rsidR="00913BFD" w:rsidRPr="000F5113">
        <w:rPr>
          <w:rFonts w:cs="Times New Roman"/>
          <w:sz w:val="22"/>
          <w:szCs w:val="22"/>
        </w:rPr>
        <w:t>‘partners’</w:t>
      </w:r>
      <w:r w:rsidRPr="000F5113">
        <w:rPr>
          <w:rFonts w:cs="Times New Roman"/>
          <w:sz w:val="22"/>
          <w:szCs w:val="22"/>
        </w:rPr>
        <w:t xml:space="preserve">. </w:t>
      </w:r>
    </w:p>
    <w:p w14:paraId="4F157DE0" w14:textId="77777777" w:rsidR="00913BFD" w:rsidRPr="000F5113" w:rsidRDefault="00913BFD">
      <w:pPr>
        <w:rPr>
          <w:rFonts w:cs="Times New Roman"/>
          <w:sz w:val="22"/>
          <w:szCs w:val="22"/>
        </w:rPr>
      </w:pPr>
    </w:p>
    <w:p w14:paraId="344D82A5" w14:textId="69EFAA26" w:rsidR="007707BA" w:rsidRPr="000F5113" w:rsidRDefault="00A26749">
      <w:pPr>
        <w:rPr>
          <w:rFonts w:cs="Times New Roman"/>
          <w:sz w:val="22"/>
          <w:szCs w:val="22"/>
        </w:rPr>
      </w:pPr>
      <w:r w:rsidRPr="000F5113">
        <w:rPr>
          <w:rFonts w:cs="Times New Roman"/>
          <w:sz w:val="22"/>
          <w:szCs w:val="22"/>
        </w:rPr>
        <w:t xml:space="preserve">In this model, the </w:t>
      </w:r>
      <w:r w:rsidR="00D65BB3" w:rsidRPr="000F5113">
        <w:rPr>
          <w:rFonts w:cs="Times New Roman"/>
          <w:sz w:val="22"/>
          <w:szCs w:val="22"/>
        </w:rPr>
        <w:t xml:space="preserve">statutory </w:t>
      </w:r>
      <w:r w:rsidRPr="000F5113">
        <w:rPr>
          <w:rFonts w:cs="Times New Roman"/>
          <w:sz w:val="22"/>
          <w:szCs w:val="22"/>
        </w:rPr>
        <w:t xml:space="preserve">LA and ICB (no mention </w:t>
      </w:r>
      <w:r w:rsidR="00D65BB3" w:rsidRPr="000F5113">
        <w:rPr>
          <w:rFonts w:cs="Times New Roman"/>
          <w:sz w:val="22"/>
          <w:szCs w:val="22"/>
        </w:rPr>
        <w:t xml:space="preserve">of </w:t>
      </w:r>
      <w:r w:rsidR="005517BB" w:rsidRPr="000F5113">
        <w:rPr>
          <w:rFonts w:cs="Times New Roman"/>
          <w:sz w:val="22"/>
          <w:szCs w:val="22"/>
        </w:rPr>
        <w:t>the ICP)</w:t>
      </w:r>
      <w:r w:rsidRPr="000F5113">
        <w:rPr>
          <w:rFonts w:cs="Times New Roman"/>
          <w:sz w:val="22"/>
          <w:szCs w:val="22"/>
        </w:rPr>
        <w:t xml:space="preserve"> </w:t>
      </w:r>
      <w:r w:rsidR="00BC58BE" w:rsidRPr="000F5113">
        <w:rPr>
          <w:rFonts w:cs="Times New Roman"/>
          <w:sz w:val="22"/>
          <w:szCs w:val="22"/>
        </w:rPr>
        <w:t>jointly agree and delegate their</w:t>
      </w:r>
      <w:r w:rsidR="00BC58BE" w:rsidRPr="000F5113">
        <w:rPr>
          <w:rFonts w:cs="Times New Roman"/>
          <w:color w:val="FF0000"/>
          <w:sz w:val="22"/>
          <w:szCs w:val="22"/>
        </w:rPr>
        <w:t xml:space="preserve"> </w:t>
      </w:r>
      <w:r w:rsidR="007707BA" w:rsidRPr="000F5113">
        <w:rPr>
          <w:rFonts w:cs="Times New Roman"/>
          <w:sz w:val="22"/>
          <w:szCs w:val="22"/>
        </w:rPr>
        <w:t>functions to “an integrated health and social care board at place,” with a single point of accountability. This board will fund and commission</w:t>
      </w:r>
      <w:r w:rsidR="00BC58BE" w:rsidRPr="000F5113">
        <w:rPr>
          <w:rFonts w:cs="Times New Roman"/>
          <w:color w:val="FF0000"/>
          <w:sz w:val="22"/>
          <w:szCs w:val="22"/>
        </w:rPr>
        <w:t xml:space="preserve"> </w:t>
      </w:r>
      <w:r w:rsidR="00BC58BE" w:rsidRPr="000F5113">
        <w:rPr>
          <w:rFonts w:cs="Times New Roman"/>
          <w:sz w:val="22"/>
          <w:szCs w:val="22"/>
        </w:rPr>
        <w:t>the full range of health and adult social care services.</w:t>
      </w:r>
    </w:p>
    <w:p w14:paraId="1C99CB9C" w14:textId="77777777" w:rsidR="007707BA" w:rsidRPr="000F5113" w:rsidRDefault="007707BA">
      <w:pPr>
        <w:rPr>
          <w:rFonts w:cs="Times New Roman"/>
          <w:sz w:val="22"/>
          <w:szCs w:val="22"/>
        </w:rPr>
      </w:pPr>
    </w:p>
    <w:p w14:paraId="723E9B51" w14:textId="2A5F5391" w:rsidR="00D30225" w:rsidRPr="000F5113" w:rsidRDefault="007707BA" w:rsidP="00D30225">
      <w:pPr>
        <w:rPr>
          <w:rFonts w:eastAsia="Times New Roman" w:cs="Times New Roman"/>
          <w:sz w:val="22"/>
          <w:szCs w:val="22"/>
        </w:rPr>
      </w:pPr>
      <w:r w:rsidRPr="000F5113">
        <w:rPr>
          <w:rFonts w:cs="Times New Roman"/>
          <w:sz w:val="22"/>
          <w:szCs w:val="22"/>
        </w:rPr>
        <w:t xml:space="preserve">There is no explanation of where </w:t>
      </w:r>
      <w:r w:rsidR="00913BFD" w:rsidRPr="000F5113">
        <w:rPr>
          <w:rFonts w:cs="Times New Roman"/>
          <w:sz w:val="22"/>
          <w:szCs w:val="22"/>
        </w:rPr>
        <w:t>the membership of this board will come from</w:t>
      </w:r>
      <w:r w:rsidRPr="000F5113">
        <w:rPr>
          <w:rFonts w:cs="Times New Roman"/>
          <w:sz w:val="22"/>
          <w:szCs w:val="22"/>
        </w:rPr>
        <w:t xml:space="preserve">, </w:t>
      </w:r>
      <w:r w:rsidR="00913BFD" w:rsidRPr="000F5113">
        <w:rPr>
          <w:rFonts w:cs="Times New Roman"/>
          <w:sz w:val="22"/>
          <w:szCs w:val="22"/>
        </w:rPr>
        <w:t xml:space="preserve">or </w:t>
      </w:r>
      <w:r w:rsidRPr="000F5113">
        <w:rPr>
          <w:rFonts w:cs="Times New Roman"/>
          <w:sz w:val="22"/>
          <w:szCs w:val="22"/>
        </w:rPr>
        <w:t>the criteria for appointing the single accountable person</w:t>
      </w:r>
      <w:r w:rsidR="00D30225" w:rsidRPr="000F5113">
        <w:rPr>
          <w:rFonts w:cs="Times New Roman"/>
          <w:sz w:val="22"/>
          <w:szCs w:val="22"/>
        </w:rPr>
        <w:t xml:space="preserve"> </w:t>
      </w:r>
      <w:r w:rsidR="00BC58BE" w:rsidRPr="000F5113">
        <w:rPr>
          <w:rFonts w:eastAsia="Times New Roman" w:cs="Times New Roman"/>
          <w:sz w:val="22"/>
          <w:szCs w:val="22"/>
          <w:shd w:val="clear" w:color="auto" w:fill="FFFFFF"/>
        </w:rPr>
        <w:t>who could</w:t>
      </w:r>
      <w:r w:rsidR="00BC58BE" w:rsidRPr="000F5113">
        <w:rPr>
          <w:rFonts w:eastAsia="Times New Roman" w:cs="Times New Roman"/>
          <w:color w:val="FF0000"/>
          <w:sz w:val="22"/>
          <w:szCs w:val="22"/>
          <w:shd w:val="clear" w:color="auto" w:fill="FFFFFF"/>
        </w:rPr>
        <w:t xml:space="preserve"> </w:t>
      </w:r>
      <w:r w:rsidR="00D30225" w:rsidRPr="000F5113">
        <w:rPr>
          <w:rFonts w:eastAsia="Times New Roman" w:cs="Times New Roman"/>
          <w:color w:val="0B0C0C"/>
          <w:sz w:val="22"/>
          <w:szCs w:val="22"/>
          <w:shd w:val="clear" w:color="auto" w:fill="FFFFFF"/>
        </w:rPr>
        <w:t>be “an individual with a dual role across health and care, or an individual who leads a place-based governance arrangement”</w:t>
      </w:r>
      <w:r w:rsidR="00630482" w:rsidRPr="000F5113">
        <w:rPr>
          <w:rFonts w:eastAsia="Times New Roman" w:cs="Times New Roman"/>
          <w:color w:val="0B0C0C"/>
          <w:sz w:val="22"/>
          <w:szCs w:val="22"/>
          <w:shd w:val="clear" w:color="auto" w:fill="FFFFFF"/>
        </w:rPr>
        <w:t>)</w:t>
      </w:r>
      <w:r w:rsidR="00D30225" w:rsidRPr="000F5113">
        <w:rPr>
          <w:rFonts w:eastAsia="Times New Roman" w:cs="Times New Roman"/>
          <w:color w:val="0B0C0C"/>
          <w:sz w:val="22"/>
          <w:szCs w:val="22"/>
          <w:shd w:val="clear" w:color="auto" w:fill="FFFFFF"/>
        </w:rPr>
        <w:t>.</w:t>
      </w:r>
    </w:p>
    <w:p w14:paraId="19D72A4E" w14:textId="77777777" w:rsidR="000709FA" w:rsidRPr="000F5113" w:rsidRDefault="000709FA">
      <w:pPr>
        <w:rPr>
          <w:rFonts w:cs="Times New Roman"/>
          <w:sz w:val="22"/>
          <w:szCs w:val="22"/>
        </w:rPr>
      </w:pPr>
    </w:p>
    <w:p w14:paraId="151C44DF" w14:textId="60F56AE4" w:rsidR="000709FA" w:rsidRPr="000F5113" w:rsidRDefault="000709FA" w:rsidP="000709FA">
      <w:pPr>
        <w:rPr>
          <w:rFonts w:cs="Times New Roman"/>
          <w:sz w:val="22"/>
          <w:szCs w:val="22"/>
        </w:rPr>
      </w:pPr>
      <w:r w:rsidRPr="000F5113">
        <w:rPr>
          <w:rFonts w:cs="Times New Roman"/>
          <w:sz w:val="22"/>
          <w:szCs w:val="22"/>
        </w:rPr>
        <w:t>S</w:t>
      </w:r>
      <w:r w:rsidR="00D30225" w:rsidRPr="000F5113">
        <w:rPr>
          <w:rFonts w:cs="Times New Roman"/>
          <w:sz w:val="22"/>
          <w:szCs w:val="22"/>
        </w:rPr>
        <w:t xml:space="preserve">ignificantly, it’s </w:t>
      </w:r>
      <w:r w:rsidR="00887483" w:rsidRPr="000F5113">
        <w:rPr>
          <w:rFonts w:cs="Times New Roman"/>
          <w:sz w:val="22"/>
          <w:szCs w:val="22"/>
        </w:rPr>
        <w:t xml:space="preserve">unclear </w:t>
      </w:r>
      <w:r w:rsidR="008D4814" w:rsidRPr="000F5113">
        <w:rPr>
          <w:rFonts w:cs="Times New Roman"/>
          <w:sz w:val="22"/>
          <w:szCs w:val="22"/>
        </w:rPr>
        <w:t>how an ICS’s different “integrated health and social care boards at place” (of which there could be</w:t>
      </w:r>
      <w:r w:rsidR="005517BB" w:rsidRPr="000F5113">
        <w:rPr>
          <w:rFonts w:cs="Times New Roman"/>
          <w:sz w:val="22"/>
          <w:szCs w:val="22"/>
        </w:rPr>
        <w:t xml:space="preserve"> </w:t>
      </w:r>
      <w:r w:rsidRPr="000F5113">
        <w:rPr>
          <w:rFonts w:cs="Times New Roman"/>
          <w:sz w:val="22"/>
          <w:szCs w:val="22"/>
        </w:rPr>
        <w:t xml:space="preserve">as many as </w:t>
      </w:r>
      <w:r w:rsidR="008D4814" w:rsidRPr="000F5113">
        <w:rPr>
          <w:rFonts w:cs="Times New Roman"/>
          <w:sz w:val="22"/>
          <w:szCs w:val="22"/>
        </w:rPr>
        <w:t>10</w:t>
      </w:r>
      <w:r w:rsidR="005517BB" w:rsidRPr="000F5113">
        <w:rPr>
          <w:rFonts w:cs="Times New Roman"/>
          <w:sz w:val="22"/>
          <w:szCs w:val="22"/>
        </w:rPr>
        <w:t>, as</w:t>
      </w:r>
      <w:r w:rsidR="008D4814" w:rsidRPr="000F5113">
        <w:rPr>
          <w:rFonts w:cs="Times New Roman"/>
          <w:sz w:val="22"/>
          <w:szCs w:val="22"/>
        </w:rPr>
        <w:t xml:space="preserve"> in the case of </w:t>
      </w:r>
      <w:r w:rsidR="00DF5759" w:rsidRPr="000F5113">
        <w:rPr>
          <w:rFonts w:cs="Times New Roman"/>
          <w:sz w:val="22"/>
          <w:szCs w:val="22"/>
        </w:rPr>
        <w:t xml:space="preserve">Greater </w:t>
      </w:r>
      <w:r w:rsidR="008D4814" w:rsidRPr="000F5113">
        <w:rPr>
          <w:rFonts w:cs="Times New Roman"/>
          <w:sz w:val="22"/>
          <w:szCs w:val="22"/>
        </w:rPr>
        <w:t>Manchester</w:t>
      </w:r>
      <w:r w:rsidR="00F77E13" w:rsidRPr="000F5113">
        <w:rPr>
          <w:rFonts w:cs="Times New Roman"/>
          <w:sz w:val="22"/>
          <w:szCs w:val="22"/>
        </w:rPr>
        <w:t>, or even more) will work together</w:t>
      </w:r>
      <w:r w:rsidR="00332FF9" w:rsidRPr="000F5113">
        <w:rPr>
          <w:rFonts w:cs="Times New Roman"/>
          <w:sz w:val="22"/>
          <w:szCs w:val="22"/>
        </w:rPr>
        <w:t xml:space="preserve"> - </w:t>
      </w:r>
      <w:r w:rsidRPr="000F5113">
        <w:rPr>
          <w:rFonts w:cs="Times New Roman"/>
          <w:sz w:val="22"/>
          <w:szCs w:val="22"/>
        </w:rPr>
        <w:t>for instance how they are to resolve conflicts of interest.</w:t>
      </w:r>
      <w:r w:rsidR="00332FF9" w:rsidRPr="000F5113">
        <w:rPr>
          <w:rFonts w:cs="Times New Roman"/>
          <w:sz w:val="22"/>
          <w:szCs w:val="22"/>
        </w:rPr>
        <w:t xml:space="preserve"> </w:t>
      </w:r>
      <w:r w:rsidRPr="000F5113">
        <w:rPr>
          <w:rFonts w:cs="Times New Roman"/>
          <w:sz w:val="22"/>
          <w:szCs w:val="22"/>
        </w:rPr>
        <w:t>The White Paper only says that, whatever governance model is chosen, it must provide clarity of decision-making covering, for example,</w:t>
      </w:r>
    </w:p>
    <w:p w14:paraId="7B85BB38" w14:textId="4ACFE3A9" w:rsidR="00805D72" w:rsidRPr="000F5113" w:rsidRDefault="000709FA" w:rsidP="00805D72">
      <w:pPr>
        <w:numPr>
          <w:ilvl w:val="0"/>
          <w:numId w:val="2"/>
        </w:numPr>
        <w:spacing w:after="75"/>
        <w:ind w:left="300"/>
        <w:rPr>
          <w:rFonts w:eastAsia="Times New Roman" w:cs="Times New Roman"/>
          <w:sz w:val="22"/>
          <w:szCs w:val="22"/>
        </w:rPr>
      </w:pPr>
      <w:r w:rsidRPr="000F5113">
        <w:rPr>
          <w:rFonts w:eastAsia="Times New Roman" w:cs="Times New Roman"/>
          <w:sz w:val="22"/>
          <w:szCs w:val="22"/>
        </w:rPr>
        <w:t>contentious issues, such as reshaping services within the place (and contributions to wider decisions such as reconfigurations across a wider geography)</w:t>
      </w:r>
      <w:r w:rsidR="003D2046" w:rsidRPr="000F5113">
        <w:rPr>
          <w:rFonts w:eastAsia="Times New Roman" w:cs="Times New Roman"/>
          <w:sz w:val="22"/>
          <w:szCs w:val="22"/>
        </w:rPr>
        <w:t xml:space="preserve"> and</w:t>
      </w:r>
    </w:p>
    <w:p w14:paraId="011B92B0" w14:textId="42D7FC29" w:rsidR="000709FA" w:rsidRPr="000F5113" w:rsidRDefault="000709FA" w:rsidP="00805D72">
      <w:pPr>
        <w:numPr>
          <w:ilvl w:val="0"/>
          <w:numId w:val="2"/>
        </w:numPr>
        <w:spacing w:after="75"/>
        <w:ind w:left="300"/>
        <w:rPr>
          <w:rFonts w:eastAsia="Times New Roman" w:cs="Times New Roman"/>
          <w:sz w:val="22"/>
          <w:szCs w:val="22"/>
        </w:rPr>
      </w:pPr>
      <w:r w:rsidRPr="000F5113">
        <w:rPr>
          <w:rFonts w:eastAsia="Times New Roman" w:cs="Times New Roman"/>
          <w:sz w:val="22"/>
          <w:szCs w:val="22"/>
        </w:rPr>
        <w:t xml:space="preserve">clear, practical arrangements for managing risk, resolving disagreements between local partners, and for agreeing the outcomes to be pursued locally in addition to any </w:t>
      </w:r>
      <w:r w:rsidRPr="000F5113">
        <w:rPr>
          <w:rFonts w:eastAsia="Times New Roman" w:cs="Times New Roman"/>
          <w:sz w:val="22"/>
          <w:szCs w:val="22"/>
        </w:rPr>
        <w:lastRenderedPageBreak/>
        <w:t>set nationally, with strong involvement of the health and care provider organisations for that place</w:t>
      </w:r>
      <w:r w:rsidR="001B38C0" w:rsidRPr="000F5113">
        <w:rPr>
          <w:rFonts w:eastAsia="Times New Roman" w:cs="Times New Roman"/>
          <w:sz w:val="22"/>
          <w:szCs w:val="22"/>
        </w:rPr>
        <w:t>.</w:t>
      </w:r>
      <w:r w:rsidR="00BA5579" w:rsidRPr="000F5113">
        <w:rPr>
          <w:rStyle w:val="FootnoteReference"/>
          <w:rFonts w:eastAsia="Times New Roman" w:cs="Times New Roman"/>
          <w:sz w:val="22"/>
          <w:szCs w:val="22"/>
        </w:rPr>
        <w:footnoteReference w:id="2"/>
      </w:r>
      <w:r w:rsidR="004A4F95" w:rsidRPr="000F5113">
        <w:rPr>
          <w:rFonts w:eastAsia="Times New Roman" w:cs="Times New Roman"/>
          <w:i/>
          <w:sz w:val="22"/>
          <w:szCs w:val="22"/>
        </w:rPr>
        <w:t xml:space="preserve"> </w:t>
      </w:r>
    </w:p>
    <w:p w14:paraId="0ABFAE5B" w14:textId="77777777" w:rsidR="00887483" w:rsidRPr="000F5113" w:rsidRDefault="00887483">
      <w:pPr>
        <w:rPr>
          <w:rFonts w:cs="Times New Roman"/>
          <w:sz w:val="22"/>
          <w:szCs w:val="22"/>
        </w:rPr>
      </w:pPr>
    </w:p>
    <w:p w14:paraId="2A256AA1" w14:textId="2A5664D8" w:rsidR="007707BA" w:rsidRPr="000F5113" w:rsidRDefault="00887483">
      <w:pPr>
        <w:rPr>
          <w:rFonts w:cs="Times New Roman"/>
          <w:sz w:val="22"/>
          <w:szCs w:val="22"/>
        </w:rPr>
      </w:pPr>
      <w:r w:rsidRPr="000F5113">
        <w:rPr>
          <w:rFonts w:cs="Times New Roman"/>
          <w:sz w:val="22"/>
          <w:szCs w:val="22"/>
        </w:rPr>
        <w:t xml:space="preserve">NHS Providers has </w:t>
      </w:r>
      <w:r w:rsidR="00D30225" w:rsidRPr="000F5113">
        <w:rPr>
          <w:rFonts w:cs="Times New Roman"/>
          <w:sz w:val="22"/>
          <w:szCs w:val="22"/>
        </w:rPr>
        <w:t>clear concerns about the proposals, saying</w:t>
      </w:r>
      <w:r w:rsidRPr="000F5113">
        <w:rPr>
          <w:rFonts w:cs="Times New Roman"/>
          <w:sz w:val="22"/>
          <w:szCs w:val="22"/>
        </w:rPr>
        <w:t xml:space="preserve">: </w:t>
      </w:r>
    </w:p>
    <w:p w14:paraId="6AA0DFD2" w14:textId="14329207" w:rsidR="00887483" w:rsidRPr="000F5113" w:rsidRDefault="000E2812" w:rsidP="000709FA">
      <w:pPr>
        <w:ind w:left="720"/>
        <w:rPr>
          <w:rFonts w:cs="Times New Roman"/>
          <w:sz w:val="22"/>
          <w:szCs w:val="22"/>
        </w:rPr>
      </w:pPr>
      <w:r w:rsidRPr="000F5113">
        <w:rPr>
          <w:rFonts w:cs="Times New Roman"/>
          <w:sz w:val="22"/>
          <w:szCs w:val="22"/>
        </w:rPr>
        <w:t xml:space="preserve">“ </w:t>
      </w:r>
      <w:r w:rsidR="00887483" w:rsidRPr="000F5113">
        <w:rPr>
          <w:rFonts w:cs="Times New Roman"/>
          <w:sz w:val="22"/>
          <w:szCs w:val="22"/>
        </w:rPr>
        <w:t xml:space="preserve">It is very striking how many trust leaders are currently saying that accountability between trust boards, ICBs, ICPs and NHSE/I regions feels very opaque and potentially confused. Adding an additional formal layer of place-based accountability for outcomes, without being clear how these accountabilities fit with those of ICBs, trusts or local </w:t>
      </w:r>
      <w:r w:rsidR="005812B6" w:rsidRPr="000F5113">
        <w:rPr>
          <w:rFonts w:cs="Times New Roman"/>
          <w:sz w:val="22"/>
          <w:szCs w:val="22"/>
        </w:rPr>
        <w:t>authorities</w:t>
      </w:r>
      <w:r w:rsidR="00887483" w:rsidRPr="000F5113">
        <w:rPr>
          <w:rFonts w:cs="Times New Roman"/>
          <w:sz w:val="22"/>
          <w:szCs w:val="22"/>
        </w:rPr>
        <w:t xml:space="preserve"> would blur lines of accountability even further. In particular, it is hard to see how a single leader can be accountable for the delivery of shared outcomes across the NHS and local authorities given existing statutory accountabilities for both systems will remain in place. This will lead to much greater complexity and high levels of risk being carried across all the different players in a system.</w:t>
      </w:r>
      <w:r w:rsidRPr="000F5113">
        <w:rPr>
          <w:rFonts w:cs="Times New Roman"/>
          <w:sz w:val="22"/>
          <w:szCs w:val="22"/>
        </w:rPr>
        <w:t>”</w:t>
      </w:r>
    </w:p>
    <w:p w14:paraId="3D38C2E0" w14:textId="77777777" w:rsidR="00B879DE" w:rsidRPr="000F5113" w:rsidRDefault="00B879DE">
      <w:pPr>
        <w:rPr>
          <w:rFonts w:cs="Times New Roman"/>
          <w:sz w:val="22"/>
          <w:szCs w:val="22"/>
        </w:rPr>
      </w:pPr>
    </w:p>
    <w:p w14:paraId="6264D857" w14:textId="23938717" w:rsidR="00BF3937" w:rsidRPr="000F5113" w:rsidRDefault="00BA5579" w:rsidP="008F0BB8">
      <w:pPr>
        <w:rPr>
          <w:rFonts w:cs="Times New Roman"/>
          <w:i/>
          <w:sz w:val="22"/>
          <w:szCs w:val="22"/>
        </w:rPr>
      </w:pPr>
      <w:r w:rsidRPr="000F5113">
        <w:rPr>
          <w:rFonts w:cs="Times New Roman"/>
          <w:i/>
          <w:sz w:val="22"/>
          <w:szCs w:val="22"/>
        </w:rPr>
        <w:t>b</w:t>
      </w:r>
      <w:r w:rsidR="00BF3937" w:rsidRPr="000F5113">
        <w:rPr>
          <w:rFonts w:cs="Times New Roman"/>
          <w:i/>
          <w:sz w:val="22"/>
          <w:szCs w:val="22"/>
        </w:rPr>
        <w:t>) The relationship between Local Authorities and NHS at place level.</w:t>
      </w:r>
    </w:p>
    <w:p w14:paraId="507362A1" w14:textId="245DAC1A" w:rsidR="00442810" w:rsidRPr="000F5113" w:rsidRDefault="005525C1" w:rsidP="008F0BB8">
      <w:pPr>
        <w:rPr>
          <w:rFonts w:cs="Times New Roman"/>
          <w:strike/>
          <w:color w:val="FF0000"/>
          <w:sz w:val="22"/>
          <w:szCs w:val="22"/>
        </w:rPr>
      </w:pPr>
      <w:r w:rsidRPr="000F5113">
        <w:rPr>
          <w:rFonts w:cs="Times New Roman"/>
          <w:sz w:val="22"/>
          <w:szCs w:val="22"/>
        </w:rPr>
        <w:t>Writing in the Local Government Chronicle</w:t>
      </w:r>
      <w:r w:rsidR="00881FCC" w:rsidRPr="000F5113">
        <w:rPr>
          <w:rFonts w:cs="Times New Roman"/>
          <w:sz w:val="22"/>
          <w:szCs w:val="22"/>
        </w:rPr>
        <w:t xml:space="preserve"> (16 February 2022)</w:t>
      </w:r>
      <w:r w:rsidR="000A5FBD" w:rsidRPr="000F5113">
        <w:rPr>
          <w:rFonts w:cs="Times New Roman"/>
          <w:sz w:val="22"/>
          <w:szCs w:val="22"/>
        </w:rPr>
        <w:t>, Andrew Cozens, an independent social care and health specialist</w:t>
      </w:r>
      <w:r w:rsidR="008F0BB8" w:rsidRPr="000F5113">
        <w:rPr>
          <w:rFonts w:cs="Times New Roman"/>
          <w:sz w:val="22"/>
          <w:szCs w:val="22"/>
        </w:rPr>
        <w:t>, says that</w:t>
      </w:r>
      <w:r w:rsidR="00F77E13" w:rsidRPr="000F5113">
        <w:rPr>
          <w:rFonts w:cs="Times New Roman"/>
          <w:sz w:val="22"/>
          <w:szCs w:val="22"/>
        </w:rPr>
        <w:t xml:space="preserve"> the White Paper proposals pivot on bringing together the strategic planning of ICSs with the delivery of services and shared outcomes at place (or council) level. </w:t>
      </w:r>
    </w:p>
    <w:p w14:paraId="2FB126FA" w14:textId="77777777" w:rsidR="000709FA" w:rsidRPr="000F5113" w:rsidRDefault="000709FA" w:rsidP="008F0BB8">
      <w:pPr>
        <w:rPr>
          <w:rFonts w:cs="Times New Roman"/>
          <w:sz w:val="22"/>
          <w:szCs w:val="22"/>
        </w:rPr>
      </w:pPr>
    </w:p>
    <w:p w14:paraId="198D858F" w14:textId="759B9812" w:rsidR="0026215D" w:rsidRPr="000F5113" w:rsidRDefault="00442810" w:rsidP="008F0BB8">
      <w:pPr>
        <w:rPr>
          <w:rFonts w:cs="Times New Roman"/>
          <w:sz w:val="22"/>
          <w:szCs w:val="22"/>
        </w:rPr>
      </w:pPr>
      <w:r w:rsidRPr="000F5113">
        <w:rPr>
          <w:rFonts w:cs="Times New Roman"/>
          <w:sz w:val="22"/>
          <w:szCs w:val="22"/>
        </w:rPr>
        <w:t xml:space="preserve">However, </w:t>
      </w:r>
    </w:p>
    <w:p w14:paraId="1D148BFC" w14:textId="2E26D55B" w:rsidR="00B8596F" w:rsidRPr="000F5113" w:rsidRDefault="00A569B8" w:rsidP="0026215D">
      <w:pPr>
        <w:pStyle w:val="NormalWeb"/>
        <w:shd w:val="clear" w:color="auto" w:fill="FFFFFF"/>
        <w:spacing w:before="0" w:beforeAutospacing="0" w:after="0" w:afterAutospacing="0"/>
        <w:ind w:left="720"/>
        <w:rPr>
          <w:rFonts w:asciiTheme="minorHAnsi" w:hAnsiTheme="minorHAnsi"/>
          <w:sz w:val="22"/>
          <w:szCs w:val="22"/>
        </w:rPr>
      </w:pPr>
      <w:r w:rsidRPr="000F5113">
        <w:rPr>
          <w:rFonts w:asciiTheme="minorHAnsi" w:hAnsiTheme="minorHAnsi"/>
          <w:sz w:val="22"/>
          <w:szCs w:val="22"/>
        </w:rPr>
        <w:t>“</w:t>
      </w:r>
      <w:r w:rsidR="00B8596F" w:rsidRPr="000F5113">
        <w:rPr>
          <w:rFonts w:asciiTheme="minorHAnsi" w:hAnsiTheme="minorHAnsi"/>
          <w:sz w:val="22"/>
          <w:szCs w:val="22"/>
        </w:rPr>
        <w:t>There is a fundamental flaw in this approach. It equates the delivery of social care and the role of local government with that of the NHS at place level. Local government has a much wider leadership role at place level covering a range of economic, environmental and infrastructure issues. As far as social care is concerned it has little direct delivery and typically only commissions around half of the social care in any locality. Its leadership of the sector lies in purchasing and shaping in the market rather than directing providers</w:t>
      </w:r>
      <w:r w:rsidR="00CF7CF1" w:rsidRPr="000F5113">
        <w:rPr>
          <w:rFonts w:asciiTheme="minorHAnsi" w:hAnsiTheme="minorHAnsi"/>
          <w:sz w:val="22"/>
          <w:szCs w:val="22"/>
        </w:rPr>
        <w:t>.”</w:t>
      </w:r>
      <w:r w:rsidR="000E2812" w:rsidRPr="000F5113">
        <w:rPr>
          <w:rStyle w:val="FootnoteReference"/>
          <w:rFonts w:asciiTheme="minorHAnsi" w:hAnsiTheme="minorHAnsi"/>
          <w:sz w:val="22"/>
          <w:szCs w:val="22"/>
        </w:rPr>
        <w:footnoteReference w:id="3"/>
      </w:r>
    </w:p>
    <w:p w14:paraId="491D1943" w14:textId="77777777" w:rsidR="00CF7CF1" w:rsidRPr="000F5113" w:rsidRDefault="00CF7CF1" w:rsidP="0026215D">
      <w:pPr>
        <w:pStyle w:val="NormalWeb"/>
        <w:shd w:val="clear" w:color="auto" w:fill="FFFFFF"/>
        <w:spacing w:before="0" w:beforeAutospacing="0" w:after="0" w:afterAutospacing="0"/>
        <w:ind w:left="720"/>
        <w:rPr>
          <w:rFonts w:asciiTheme="minorHAnsi" w:hAnsiTheme="minorHAnsi"/>
          <w:sz w:val="22"/>
          <w:szCs w:val="22"/>
        </w:rPr>
      </w:pPr>
    </w:p>
    <w:p w14:paraId="3F37C3B3" w14:textId="72F18DBA" w:rsidR="00B65413" w:rsidRPr="000F5113" w:rsidRDefault="00BA5579" w:rsidP="003F4329">
      <w:pPr>
        <w:rPr>
          <w:rFonts w:cs="Times New Roman"/>
          <w:b/>
          <w:sz w:val="22"/>
          <w:szCs w:val="22"/>
        </w:rPr>
      </w:pPr>
      <w:r w:rsidRPr="000F5113">
        <w:rPr>
          <w:rFonts w:cs="Times New Roman"/>
          <w:b/>
          <w:sz w:val="22"/>
          <w:szCs w:val="22"/>
        </w:rPr>
        <w:t>3.2</w:t>
      </w:r>
      <w:r w:rsidR="000162CD" w:rsidRPr="000F5113">
        <w:rPr>
          <w:rFonts w:cs="Times New Roman"/>
          <w:b/>
          <w:sz w:val="22"/>
          <w:szCs w:val="22"/>
        </w:rPr>
        <w:t xml:space="preserve">. </w:t>
      </w:r>
      <w:r w:rsidR="00887483" w:rsidRPr="000F5113">
        <w:rPr>
          <w:rFonts w:cs="Times New Roman"/>
          <w:b/>
          <w:sz w:val="22"/>
          <w:szCs w:val="22"/>
        </w:rPr>
        <w:t>S</w:t>
      </w:r>
      <w:r w:rsidR="00B879DE" w:rsidRPr="000F5113">
        <w:rPr>
          <w:rFonts w:cs="Times New Roman"/>
          <w:b/>
          <w:sz w:val="22"/>
          <w:szCs w:val="22"/>
        </w:rPr>
        <w:t>hared outcomes</w:t>
      </w:r>
    </w:p>
    <w:p w14:paraId="24B271C4" w14:textId="6B0523B5" w:rsidR="00D30225" w:rsidRPr="000F5113" w:rsidRDefault="00D50D1B" w:rsidP="003F4329">
      <w:pPr>
        <w:rPr>
          <w:rFonts w:cs="Times New Roman"/>
          <w:sz w:val="22"/>
          <w:szCs w:val="22"/>
        </w:rPr>
      </w:pPr>
      <w:r w:rsidRPr="000F5113">
        <w:rPr>
          <w:rFonts w:cs="Times New Roman"/>
          <w:sz w:val="22"/>
          <w:szCs w:val="22"/>
        </w:rPr>
        <w:t xml:space="preserve">In addition to nationally set outcomes, the White Paper proposes shared outcomes are agreed at place level. Work is on-going to develop a framework </w:t>
      </w:r>
      <w:r w:rsidR="00D30225" w:rsidRPr="000F5113">
        <w:rPr>
          <w:rFonts w:cs="Times New Roman"/>
          <w:sz w:val="22"/>
          <w:szCs w:val="22"/>
        </w:rPr>
        <w:t xml:space="preserve">to provide </w:t>
      </w:r>
      <w:r w:rsidRPr="000F5113">
        <w:rPr>
          <w:rFonts w:cs="Times New Roman"/>
          <w:sz w:val="22"/>
          <w:szCs w:val="22"/>
        </w:rPr>
        <w:t xml:space="preserve">a set of national priorities and an approach that places can take to </w:t>
      </w:r>
      <w:r w:rsidR="003F4329" w:rsidRPr="000F5113">
        <w:rPr>
          <w:rFonts w:cs="Times New Roman"/>
          <w:sz w:val="22"/>
          <w:szCs w:val="22"/>
        </w:rPr>
        <w:t xml:space="preserve">prioritise shared outcomes at local level. </w:t>
      </w:r>
      <w:r w:rsidR="003F4329" w:rsidRPr="000F5113">
        <w:rPr>
          <w:rFonts w:eastAsia="Times New Roman" w:cs="Times New Roman"/>
          <w:color w:val="0B0C0C"/>
          <w:sz w:val="22"/>
          <w:szCs w:val="22"/>
          <w:shd w:val="clear" w:color="auto" w:fill="FFFFFF"/>
        </w:rPr>
        <w:t>Initially, outcomes will focus on health services, the public’s health and adult social care.</w:t>
      </w:r>
      <w:r w:rsidR="00E80385" w:rsidRPr="000F5113">
        <w:rPr>
          <w:rFonts w:eastAsia="Times New Roman" w:cs="Times New Roman"/>
          <w:color w:val="0B0C0C"/>
          <w:sz w:val="22"/>
          <w:szCs w:val="22"/>
          <w:shd w:val="clear" w:color="auto" w:fill="FFFFFF"/>
        </w:rPr>
        <w:t xml:space="preserve"> </w:t>
      </w:r>
      <w:r w:rsidR="003F4329" w:rsidRPr="000F5113">
        <w:rPr>
          <w:rFonts w:cs="Times New Roman"/>
          <w:sz w:val="22"/>
          <w:szCs w:val="22"/>
        </w:rPr>
        <w:t>Implementation of shared outcomes is expected to</w:t>
      </w:r>
      <w:r w:rsidRPr="000F5113">
        <w:rPr>
          <w:rFonts w:cs="Times New Roman"/>
          <w:sz w:val="22"/>
          <w:szCs w:val="22"/>
        </w:rPr>
        <w:t xml:space="preserve"> begin from April 2023. </w:t>
      </w:r>
    </w:p>
    <w:p w14:paraId="1815A02F" w14:textId="77777777" w:rsidR="00D30225" w:rsidRPr="000F5113" w:rsidRDefault="00D30225" w:rsidP="003F4329">
      <w:pPr>
        <w:rPr>
          <w:rFonts w:cs="Times New Roman"/>
          <w:sz w:val="22"/>
          <w:szCs w:val="22"/>
        </w:rPr>
      </w:pPr>
    </w:p>
    <w:p w14:paraId="144B0FEA" w14:textId="4EA3E06D" w:rsidR="00B879DE" w:rsidRPr="000F5113" w:rsidRDefault="003D2046">
      <w:pPr>
        <w:rPr>
          <w:rFonts w:eastAsia="Times New Roman" w:cs="Times New Roman"/>
          <w:sz w:val="22"/>
          <w:szCs w:val="22"/>
        </w:rPr>
      </w:pPr>
      <w:r w:rsidRPr="000F5113">
        <w:rPr>
          <w:rFonts w:cs="Times New Roman"/>
          <w:sz w:val="22"/>
          <w:szCs w:val="22"/>
        </w:rPr>
        <w:t xml:space="preserve">It </w:t>
      </w:r>
      <w:r w:rsidR="00D50D1B" w:rsidRPr="000F5113">
        <w:rPr>
          <w:rFonts w:cs="Times New Roman"/>
          <w:sz w:val="22"/>
          <w:szCs w:val="22"/>
        </w:rPr>
        <w:t>seems that the ICB (and ICP) will be by-passed in setting these shared outcomes</w:t>
      </w:r>
      <w:r w:rsidR="003F4329" w:rsidRPr="000F5113">
        <w:rPr>
          <w:rFonts w:cs="Times New Roman"/>
          <w:sz w:val="22"/>
          <w:szCs w:val="22"/>
        </w:rPr>
        <w:t xml:space="preserve">. However, </w:t>
      </w:r>
      <w:r w:rsidR="003F4329" w:rsidRPr="000F5113">
        <w:rPr>
          <w:rFonts w:eastAsia="Times New Roman" w:cs="Times New Roman"/>
          <w:sz w:val="22"/>
          <w:szCs w:val="22"/>
        </w:rPr>
        <w:t>ICSs</w:t>
      </w:r>
      <w:r w:rsidR="003F4329" w:rsidRPr="000F5113">
        <w:rPr>
          <w:rFonts w:eastAsia="Times New Roman" w:cs="Times New Roman"/>
          <w:color w:val="0B0C0C"/>
          <w:sz w:val="22"/>
          <w:szCs w:val="22"/>
          <w:shd w:val="clear" w:color="auto" w:fill="FFFFFF"/>
        </w:rPr>
        <w:t> </w:t>
      </w:r>
      <w:r w:rsidR="00D30225" w:rsidRPr="000F5113">
        <w:rPr>
          <w:rFonts w:eastAsia="Times New Roman" w:cs="Times New Roman"/>
          <w:color w:val="0B0C0C"/>
          <w:sz w:val="22"/>
          <w:szCs w:val="22"/>
          <w:shd w:val="clear" w:color="auto" w:fill="FFFFFF"/>
        </w:rPr>
        <w:t xml:space="preserve">(does this mean ICBs?) </w:t>
      </w:r>
      <w:r w:rsidR="003F4329" w:rsidRPr="000F5113">
        <w:rPr>
          <w:rFonts w:eastAsia="Times New Roman" w:cs="Times New Roman"/>
          <w:color w:val="0B0C0C"/>
          <w:sz w:val="22"/>
          <w:szCs w:val="22"/>
          <w:shd w:val="clear" w:color="auto" w:fill="FFFFFF"/>
        </w:rPr>
        <w:t>will provide support and challenge to each local area as to the assessment of need and local outcome selection</w:t>
      </w:r>
      <w:r w:rsidR="00D30225" w:rsidRPr="000F5113">
        <w:rPr>
          <w:rFonts w:eastAsia="Times New Roman" w:cs="Times New Roman"/>
          <w:color w:val="0B0C0C"/>
          <w:sz w:val="22"/>
          <w:szCs w:val="22"/>
          <w:shd w:val="clear" w:color="auto" w:fill="FFFFFF"/>
        </w:rPr>
        <w:t xml:space="preserve">, plus </w:t>
      </w:r>
      <w:r w:rsidR="003F4329" w:rsidRPr="000F5113">
        <w:rPr>
          <w:rFonts w:eastAsia="Times New Roman" w:cs="Times New Roman"/>
          <w:color w:val="0B0C0C"/>
          <w:sz w:val="22"/>
          <w:szCs w:val="22"/>
          <w:shd w:val="clear" w:color="auto" w:fill="FFFFFF"/>
        </w:rPr>
        <w:t xml:space="preserve">plans to meet both national and local outcomes. CQCs will consider </w:t>
      </w:r>
      <w:r w:rsidR="00D30225" w:rsidRPr="000F5113">
        <w:rPr>
          <w:rFonts w:eastAsia="Times New Roman" w:cs="Times New Roman"/>
          <w:color w:val="0B0C0C"/>
          <w:sz w:val="22"/>
          <w:szCs w:val="22"/>
          <w:shd w:val="clear" w:color="auto" w:fill="FFFFFF"/>
        </w:rPr>
        <w:t xml:space="preserve">the </w:t>
      </w:r>
      <w:r w:rsidR="003F4329" w:rsidRPr="000F5113">
        <w:rPr>
          <w:rFonts w:eastAsia="Times New Roman" w:cs="Times New Roman"/>
          <w:color w:val="0B0C0C"/>
          <w:sz w:val="22"/>
          <w:szCs w:val="22"/>
          <w:shd w:val="clear" w:color="auto" w:fill="FFFFFF"/>
        </w:rPr>
        <w:t>outcomes agreed at place level in their assessment of ICSs.</w:t>
      </w:r>
    </w:p>
    <w:p w14:paraId="1EAE50F6" w14:textId="77777777" w:rsidR="00B879DE" w:rsidRPr="000F5113" w:rsidRDefault="00B879DE">
      <w:pPr>
        <w:rPr>
          <w:rFonts w:cs="Times New Roman"/>
          <w:sz w:val="22"/>
          <w:szCs w:val="22"/>
        </w:rPr>
      </w:pPr>
    </w:p>
    <w:p w14:paraId="5491544F" w14:textId="37D71ACC" w:rsidR="00B65413" w:rsidRPr="000F5113" w:rsidRDefault="00BA5579" w:rsidP="00E04D74">
      <w:pPr>
        <w:rPr>
          <w:rFonts w:cs="Times New Roman"/>
          <w:b/>
          <w:sz w:val="22"/>
          <w:szCs w:val="22"/>
        </w:rPr>
      </w:pPr>
      <w:r w:rsidRPr="000F5113">
        <w:rPr>
          <w:rFonts w:cs="Times New Roman"/>
          <w:b/>
          <w:sz w:val="22"/>
          <w:szCs w:val="22"/>
        </w:rPr>
        <w:t>3.3</w:t>
      </w:r>
      <w:r w:rsidR="000162CD" w:rsidRPr="000F5113">
        <w:rPr>
          <w:rFonts w:cs="Times New Roman"/>
          <w:b/>
          <w:sz w:val="22"/>
          <w:szCs w:val="22"/>
        </w:rPr>
        <w:t>. Finance and integration</w:t>
      </w:r>
    </w:p>
    <w:p w14:paraId="5E0B687F" w14:textId="17C75194" w:rsidR="00E04D74" w:rsidRPr="000F5113" w:rsidRDefault="000B108A" w:rsidP="00E04D74">
      <w:pPr>
        <w:rPr>
          <w:rFonts w:cs="Times New Roman"/>
          <w:sz w:val="22"/>
          <w:szCs w:val="22"/>
        </w:rPr>
      </w:pPr>
      <w:r w:rsidRPr="000F5113">
        <w:rPr>
          <w:rFonts w:cs="Times New Roman"/>
          <w:sz w:val="22"/>
          <w:szCs w:val="22"/>
        </w:rPr>
        <w:t>According to the White Paper,</w:t>
      </w:r>
    </w:p>
    <w:p w14:paraId="3583BA90" w14:textId="7F99F98D" w:rsidR="000B108A" w:rsidRPr="000F5113" w:rsidRDefault="000E2812" w:rsidP="00E04D74">
      <w:pPr>
        <w:ind w:left="720"/>
        <w:rPr>
          <w:rFonts w:cs="Times New Roman"/>
          <w:sz w:val="22"/>
          <w:szCs w:val="22"/>
        </w:rPr>
      </w:pPr>
      <w:r w:rsidRPr="000F5113">
        <w:rPr>
          <w:rFonts w:cs="Times New Roman"/>
          <w:color w:val="0B0C0C"/>
          <w:sz w:val="22"/>
          <w:szCs w:val="22"/>
        </w:rPr>
        <w:t>“</w:t>
      </w:r>
      <w:r w:rsidR="000162CD" w:rsidRPr="000F5113">
        <w:rPr>
          <w:rFonts w:cs="Times New Roman"/>
          <w:color w:val="0B0C0C"/>
          <w:sz w:val="22"/>
          <w:szCs w:val="22"/>
        </w:rPr>
        <w:t xml:space="preserve">Local leaders should have the flexibility to deploy resources to meet the health and care needs of their population, as necessary. NHS and local government organisations will be supported and encouraged to do more to align and pool </w:t>
      </w:r>
      <w:r w:rsidR="000162CD" w:rsidRPr="000F5113">
        <w:rPr>
          <w:rFonts w:cs="Times New Roman"/>
          <w:color w:val="0B0C0C"/>
          <w:sz w:val="22"/>
          <w:szCs w:val="22"/>
        </w:rPr>
        <w:lastRenderedPageBreak/>
        <w:t>budgets, both to ensure better use of resources to address immediate needs, but also to support long-term investment in population health and wellbeing.</w:t>
      </w:r>
      <w:r w:rsidRPr="000F5113">
        <w:rPr>
          <w:rFonts w:cs="Times New Roman"/>
          <w:color w:val="0B0C0C"/>
          <w:sz w:val="22"/>
          <w:szCs w:val="22"/>
        </w:rPr>
        <w:t>”</w:t>
      </w:r>
    </w:p>
    <w:p w14:paraId="10FA132B" w14:textId="77777777" w:rsidR="00E04D74" w:rsidRPr="000F5113" w:rsidRDefault="00E04D74" w:rsidP="000B108A">
      <w:pPr>
        <w:rPr>
          <w:rFonts w:cs="Times New Roman"/>
          <w:sz w:val="22"/>
          <w:szCs w:val="22"/>
        </w:rPr>
      </w:pPr>
    </w:p>
    <w:p w14:paraId="264E3CED" w14:textId="580C1B56" w:rsidR="000B108A" w:rsidRPr="000F5113" w:rsidRDefault="00E17737" w:rsidP="000B108A">
      <w:pPr>
        <w:rPr>
          <w:rFonts w:eastAsia="Times New Roman" w:cs="Times New Roman"/>
          <w:color w:val="0B0C0C"/>
          <w:sz w:val="22"/>
          <w:szCs w:val="22"/>
          <w:shd w:val="clear" w:color="auto" w:fill="FFFFFF"/>
        </w:rPr>
      </w:pPr>
      <w:r w:rsidRPr="000F5113">
        <w:rPr>
          <w:rFonts w:cs="Times New Roman"/>
          <w:sz w:val="22"/>
          <w:szCs w:val="22"/>
        </w:rPr>
        <w:t>P</w:t>
      </w:r>
      <w:r w:rsidR="000B108A" w:rsidRPr="000F5113">
        <w:rPr>
          <w:rFonts w:cs="Times New Roman"/>
          <w:sz w:val="22"/>
          <w:szCs w:val="22"/>
        </w:rPr>
        <w:t>ooled budgets</w:t>
      </w:r>
      <w:r w:rsidR="000B108A" w:rsidRPr="000F5113">
        <w:rPr>
          <w:rFonts w:cs="Times New Roman"/>
          <w:color w:val="FF0000"/>
          <w:sz w:val="22"/>
          <w:szCs w:val="22"/>
        </w:rPr>
        <w:t xml:space="preserve"> </w:t>
      </w:r>
      <w:r w:rsidRPr="000F5113">
        <w:rPr>
          <w:rFonts w:cs="Times New Roman"/>
          <w:sz w:val="22"/>
          <w:szCs w:val="22"/>
        </w:rPr>
        <w:t xml:space="preserve">will </w:t>
      </w:r>
      <w:r w:rsidR="000B108A" w:rsidRPr="000F5113">
        <w:rPr>
          <w:rFonts w:eastAsia="Times New Roman" w:cs="Times New Roman"/>
          <w:color w:val="0B0C0C"/>
          <w:sz w:val="22"/>
          <w:szCs w:val="22"/>
          <w:shd w:val="clear" w:color="auto" w:fill="FFFFFF"/>
        </w:rPr>
        <w:t>eventually cover</w:t>
      </w:r>
      <w:r w:rsidR="003D2046" w:rsidRPr="000F5113">
        <w:rPr>
          <w:rFonts w:eastAsia="Times New Roman" w:cs="Times New Roman"/>
          <w:sz w:val="22"/>
          <w:szCs w:val="22"/>
          <w:shd w:val="clear" w:color="auto" w:fill="FFFFFF"/>
        </w:rPr>
        <w:t xml:space="preserve"> </w:t>
      </w:r>
      <w:r w:rsidR="000B108A" w:rsidRPr="000F5113">
        <w:rPr>
          <w:rFonts w:eastAsia="Times New Roman" w:cs="Times New Roman"/>
          <w:color w:val="0B0C0C"/>
          <w:sz w:val="22"/>
          <w:szCs w:val="22"/>
          <w:shd w:val="clear" w:color="auto" w:fill="FFFFFF"/>
        </w:rPr>
        <w:t xml:space="preserve">much of </w:t>
      </w:r>
      <w:r w:rsidR="003D2046" w:rsidRPr="000F5113">
        <w:rPr>
          <w:rFonts w:eastAsia="Times New Roman" w:cs="Times New Roman"/>
          <w:color w:val="0B0C0C"/>
          <w:sz w:val="22"/>
          <w:szCs w:val="22"/>
          <w:shd w:val="clear" w:color="auto" w:fill="FFFFFF"/>
        </w:rPr>
        <w:t xml:space="preserve">the </w:t>
      </w:r>
      <w:r w:rsidR="000B108A" w:rsidRPr="000F5113">
        <w:rPr>
          <w:rFonts w:eastAsia="Times New Roman" w:cs="Times New Roman"/>
          <w:color w:val="0B0C0C"/>
          <w:sz w:val="22"/>
          <w:szCs w:val="22"/>
          <w:shd w:val="clear" w:color="auto" w:fill="FFFFFF"/>
        </w:rPr>
        <w:t>funding for health and social care services at place level</w:t>
      </w:r>
      <w:r w:rsidR="000B108A" w:rsidRPr="000F5113">
        <w:rPr>
          <w:rFonts w:eastAsia="Times New Roman" w:cs="Times New Roman"/>
          <w:sz w:val="22"/>
          <w:szCs w:val="22"/>
          <w:shd w:val="clear" w:color="auto" w:fill="FFFFFF"/>
        </w:rPr>
        <w:t>. “Pooling agreements will remain subject to both NHS and local authority leadership and NHS system and place leaders agreeing what constitutes a fair and appropriate contribution”.</w:t>
      </w:r>
      <w:r w:rsidR="00A700B5" w:rsidRPr="000F5113">
        <w:rPr>
          <w:rFonts w:eastAsia="Times New Roman" w:cs="Times New Roman"/>
          <w:sz w:val="22"/>
          <w:szCs w:val="22"/>
          <w:shd w:val="clear" w:color="auto" w:fill="FFFFFF"/>
        </w:rPr>
        <w:t xml:space="preserve"> </w:t>
      </w:r>
      <w:r w:rsidR="000B108A" w:rsidRPr="000F5113">
        <w:rPr>
          <w:rFonts w:eastAsia="Times New Roman" w:cs="Times New Roman"/>
          <w:color w:val="0B0C0C"/>
          <w:sz w:val="22"/>
          <w:szCs w:val="22"/>
          <w:shd w:val="clear" w:color="auto" w:fill="FFFFFF"/>
        </w:rPr>
        <w:t>To support this, regulations underpinning S75 of the 2006 NHS Act</w:t>
      </w:r>
      <w:r w:rsidR="007A0F06" w:rsidRPr="000F5113">
        <w:rPr>
          <w:rFonts w:eastAsia="Times New Roman" w:cs="Times New Roman"/>
          <w:color w:val="0B0C0C"/>
          <w:sz w:val="22"/>
          <w:szCs w:val="22"/>
          <w:shd w:val="clear" w:color="auto" w:fill="FFFFFF"/>
        </w:rPr>
        <w:t xml:space="preserve"> are being reviewing and ‘simplified’</w:t>
      </w:r>
      <w:r w:rsidR="00E206EE" w:rsidRPr="000F5113">
        <w:rPr>
          <w:rFonts w:eastAsia="Times New Roman" w:cs="Times New Roman"/>
          <w:color w:val="0B0C0C"/>
          <w:sz w:val="22"/>
          <w:szCs w:val="22"/>
          <w:shd w:val="clear" w:color="auto" w:fill="FFFFFF"/>
        </w:rPr>
        <w:t xml:space="preserve">. </w:t>
      </w:r>
      <w:r w:rsidR="000B108A" w:rsidRPr="000F5113">
        <w:rPr>
          <w:rFonts w:eastAsia="Times New Roman" w:cs="Times New Roman"/>
          <w:color w:val="0B0C0C"/>
          <w:sz w:val="22"/>
          <w:szCs w:val="22"/>
          <w:shd w:val="clear" w:color="auto" w:fill="FFFFFF"/>
        </w:rPr>
        <w:t>The approach to pooled budgets will also be supported by other measures such as Joint Committees,</w:t>
      </w:r>
      <w:r w:rsidR="00A700B5" w:rsidRPr="000F5113">
        <w:rPr>
          <w:rFonts w:eastAsia="Times New Roman" w:cs="Times New Roman"/>
          <w:color w:val="0B0C0C"/>
          <w:sz w:val="22"/>
          <w:szCs w:val="22"/>
          <w:shd w:val="clear" w:color="auto" w:fill="FFFFFF"/>
        </w:rPr>
        <w:t xml:space="preserve"> personal budgets,</w:t>
      </w:r>
      <w:r w:rsidR="000B108A" w:rsidRPr="000F5113">
        <w:rPr>
          <w:rFonts w:eastAsia="Times New Roman" w:cs="Times New Roman"/>
          <w:color w:val="0B0C0C"/>
          <w:sz w:val="22"/>
          <w:szCs w:val="22"/>
          <w:shd w:val="clear" w:color="auto" w:fill="FFFFFF"/>
        </w:rPr>
        <w:t xml:space="preserve"> the Triple Aim duty, and the strengthened duty to cooperate.</w:t>
      </w:r>
    </w:p>
    <w:p w14:paraId="3FA66182" w14:textId="2AA0F8AF" w:rsidR="00167F67" w:rsidRPr="000F5113" w:rsidRDefault="00167F67" w:rsidP="000B108A">
      <w:pPr>
        <w:rPr>
          <w:rFonts w:eastAsia="Times New Roman" w:cs="Times New Roman"/>
          <w:color w:val="0B0C0C"/>
          <w:sz w:val="22"/>
          <w:szCs w:val="22"/>
          <w:shd w:val="clear" w:color="auto" w:fill="FFFFFF"/>
        </w:rPr>
      </w:pPr>
    </w:p>
    <w:p w14:paraId="51ED80C6" w14:textId="5CED5CBA" w:rsidR="0026215D" w:rsidRPr="000F5113" w:rsidRDefault="00167F67" w:rsidP="00BA6BE2">
      <w:pPr>
        <w:jc w:val="both"/>
        <w:rPr>
          <w:rFonts w:eastAsia="Times New Roman" w:cs="Times New Roman"/>
          <w:sz w:val="22"/>
          <w:szCs w:val="22"/>
          <w:shd w:val="clear" w:color="auto" w:fill="FFFFFF"/>
        </w:rPr>
      </w:pPr>
      <w:r w:rsidRPr="000F5113">
        <w:rPr>
          <w:rFonts w:eastAsia="Times New Roman" w:cs="Times New Roman"/>
          <w:sz w:val="22"/>
          <w:szCs w:val="22"/>
          <w:shd w:val="clear" w:color="auto" w:fill="FFFFFF"/>
        </w:rPr>
        <w:t>NHS Providers are cautious</w:t>
      </w:r>
      <w:r w:rsidR="007A0F06" w:rsidRPr="000F5113">
        <w:rPr>
          <w:rFonts w:eastAsia="Times New Roman" w:cs="Times New Roman"/>
          <w:sz w:val="22"/>
          <w:szCs w:val="22"/>
          <w:shd w:val="clear" w:color="auto" w:fill="FFFFFF"/>
        </w:rPr>
        <w:t xml:space="preserve"> in response</w:t>
      </w:r>
      <w:r w:rsidR="001234F1" w:rsidRPr="000F5113">
        <w:rPr>
          <w:rFonts w:eastAsia="Times New Roman" w:cs="Times New Roman"/>
          <w:sz w:val="22"/>
          <w:szCs w:val="22"/>
          <w:shd w:val="clear" w:color="auto" w:fill="FFFFFF"/>
        </w:rPr>
        <w:t xml:space="preserve">, saying that the White Paper’s expectation of </w:t>
      </w:r>
    </w:p>
    <w:p w14:paraId="72A21BC4" w14:textId="77777777" w:rsidR="0026215D" w:rsidRPr="000F5113" w:rsidRDefault="001234F1" w:rsidP="0026215D">
      <w:pPr>
        <w:ind w:left="720"/>
        <w:jc w:val="both"/>
        <w:rPr>
          <w:rFonts w:cs="Times New Roman"/>
          <w:sz w:val="22"/>
          <w:szCs w:val="22"/>
        </w:rPr>
      </w:pPr>
      <w:r w:rsidRPr="000F5113">
        <w:rPr>
          <w:rFonts w:eastAsia="Times New Roman" w:cs="Times New Roman"/>
          <w:sz w:val="22"/>
          <w:szCs w:val="22"/>
          <w:shd w:val="clear" w:color="auto" w:fill="FFFFFF"/>
        </w:rPr>
        <w:t>“</w:t>
      </w:r>
      <w:r w:rsidRPr="000F5113">
        <w:rPr>
          <w:rFonts w:cs="Times New Roman"/>
          <w:sz w:val="22"/>
          <w:szCs w:val="22"/>
        </w:rPr>
        <w:t>greater pooling of NHS and social care funding – without altering the underlying financial flows, infrastructure and accountabilities – will introduce further risk into an already fragile, and under-funded, system. This is particularly concerning given the absence of wider reform, and financial support, for social care.”</w:t>
      </w:r>
      <w:r w:rsidR="00BA6BE2" w:rsidRPr="000F5113">
        <w:rPr>
          <w:rFonts w:cs="Times New Roman"/>
          <w:sz w:val="22"/>
          <w:szCs w:val="22"/>
        </w:rPr>
        <w:t xml:space="preserve">  </w:t>
      </w:r>
    </w:p>
    <w:p w14:paraId="75A94B10" w14:textId="239D3715" w:rsidR="00BA6BE2" w:rsidRPr="000F5113" w:rsidRDefault="00BA6BE2" w:rsidP="0026215D">
      <w:pPr>
        <w:jc w:val="both"/>
        <w:rPr>
          <w:rFonts w:cs="Times New Roman"/>
          <w:sz w:val="22"/>
          <w:szCs w:val="22"/>
        </w:rPr>
      </w:pPr>
      <w:r w:rsidRPr="000F5113">
        <w:rPr>
          <w:rFonts w:cs="Times New Roman"/>
          <w:sz w:val="22"/>
          <w:szCs w:val="22"/>
        </w:rPr>
        <w:t xml:space="preserve">In the press </w:t>
      </w:r>
      <w:r w:rsidR="00CF7CF1" w:rsidRPr="000F5113">
        <w:rPr>
          <w:rFonts w:cs="Times New Roman"/>
          <w:sz w:val="22"/>
          <w:szCs w:val="22"/>
        </w:rPr>
        <w:t>statement incorporated in the</w:t>
      </w:r>
      <w:r w:rsidR="00741B46" w:rsidRPr="000F5113">
        <w:rPr>
          <w:rFonts w:cs="Times New Roman"/>
          <w:sz w:val="22"/>
          <w:szCs w:val="22"/>
        </w:rPr>
        <w:t>ir</w:t>
      </w:r>
      <w:r w:rsidR="00CF7CF1" w:rsidRPr="000F5113">
        <w:rPr>
          <w:rFonts w:cs="Times New Roman"/>
          <w:sz w:val="22"/>
          <w:szCs w:val="22"/>
        </w:rPr>
        <w:t xml:space="preserve"> Next Day Briefing,</w:t>
      </w:r>
      <w:r w:rsidRPr="000F5113">
        <w:rPr>
          <w:rFonts w:cs="Times New Roman"/>
          <w:sz w:val="22"/>
          <w:szCs w:val="22"/>
        </w:rPr>
        <w:t xml:space="preserve"> they say: “Pooling NHS and social care budgets is no substitute for funding both systems appropriately and placing social care services on a sustainable footing.”</w:t>
      </w:r>
      <w:r w:rsidR="007A0F06" w:rsidRPr="000F5113">
        <w:rPr>
          <w:rFonts w:cs="Times New Roman"/>
          <w:sz w:val="22"/>
          <w:szCs w:val="22"/>
        </w:rPr>
        <w:t xml:space="preserve"> </w:t>
      </w:r>
    </w:p>
    <w:p w14:paraId="32E3960E" w14:textId="77777777" w:rsidR="0096438C" w:rsidRPr="000F5113" w:rsidRDefault="0096438C" w:rsidP="00BA6BE2">
      <w:pPr>
        <w:jc w:val="both"/>
        <w:rPr>
          <w:rFonts w:cs="Times New Roman"/>
          <w:color w:val="00B050"/>
          <w:sz w:val="22"/>
          <w:szCs w:val="22"/>
        </w:rPr>
      </w:pPr>
    </w:p>
    <w:p w14:paraId="1344F1FC" w14:textId="6E12BF7E" w:rsidR="0026215D" w:rsidRPr="000F5113" w:rsidRDefault="0096438C" w:rsidP="00360B1E">
      <w:pPr>
        <w:pStyle w:val="NormalWeb"/>
        <w:shd w:val="clear" w:color="auto" w:fill="FFFFFF"/>
        <w:spacing w:before="0" w:beforeAutospacing="0" w:after="0" w:afterAutospacing="0"/>
        <w:rPr>
          <w:rFonts w:asciiTheme="minorHAnsi" w:hAnsiTheme="minorHAnsi"/>
          <w:sz w:val="22"/>
          <w:szCs w:val="22"/>
        </w:rPr>
      </w:pPr>
      <w:r w:rsidRPr="000F5113">
        <w:rPr>
          <w:rFonts w:asciiTheme="minorHAnsi" w:hAnsiTheme="minorHAnsi"/>
          <w:sz w:val="22"/>
          <w:szCs w:val="22"/>
        </w:rPr>
        <w:t xml:space="preserve">The Local Government Association also </w:t>
      </w:r>
      <w:r w:rsidR="005812B6" w:rsidRPr="000F5113">
        <w:rPr>
          <w:rFonts w:asciiTheme="minorHAnsi" w:hAnsiTheme="minorHAnsi"/>
          <w:sz w:val="22"/>
          <w:szCs w:val="22"/>
        </w:rPr>
        <w:t>sees</w:t>
      </w:r>
      <w:r w:rsidR="00210A48" w:rsidRPr="000F5113">
        <w:rPr>
          <w:rFonts w:asciiTheme="minorHAnsi" w:hAnsiTheme="minorHAnsi"/>
          <w:sz w:val="22"/>
          <w:szCs w:val="22"/>
        </w:rPr>
        <w:t xml:space="preserve"> </w:t>
      </w:r>
      <w:r w:rsidR="007A0F06" w:rsidRPr="000F5113">
        <w:rPr>
          <w:rFonts w:asciiTheme="minorHAnsi" w:hAnsiTheme="minorHAnsi"/>
          <w:sz w:val="22"/>
          <w:szCs w:val="22"/>
        </w:rPr>
        <w:t xml:space="preserve">an urgent need for </w:t>
      </w:r>
      <w:r w:rsidR="00210A48" w:rsidRPr="000F5113">
        <w:rPr>
          <w:rFonts w:asciiTheme="minorHAnsi" w:hAnsiTheme="minorHAnsi"/>
          <w:sz w:val="22"/>
          <w:szCs w:val="22"/>
        </w:rPr>
        <w:t xml:space="preserve">financial investment: </w:t>
      </w:r>
      <w:r w:rsidRPr="000F5113">
        <w:rPr>
          <w:rFonts w:asciiTheme="minorHAnsi" w:hAnsiTheme="minorHAnsi"/>
          <w:sz w:val="22"/>
          <w:szCs w:val="22"/>
        </w:rPr>
        <w:t xml:space="preserve"> </w:t>
      </w:r>
    </w:p>
    <w:p w14:paraId="4F49554B" w14:textId="77777777" w:rsidR="0026215D" w:rsidRPr="000F5113" w:rsidRDefault="00210A48" w:rsidP="0026215D">
      <w:pPr>
        <w:pStyle w:val="NormalWeb"/>
        <w:shd w:val="clear" w:color="auto" w:fill="FFFFFF"/>
        <w:spacing w:before="0" w:beforeAutospacing="0" w:after="0" w:afterAutospacing="0"/>
        <w:ind w:left="720"/>
        <w:rPr>
          <w:rFonts w:asciiTheme="minorHAnsi" w:hAnsiTheme="minorHAnsi"/>
          <w:sz w:val="22"/>
          <w:szCs w:val="22"/>
          <w:shd w:val="clear" w:color="auto" w:fill="FFFFFF"/>
        </w:rPr>
      </w:pPr>
      <w:r w:rsidRPr="000F5113">
        <w:rPr>
          <w:rFonts w:asciiTheme="minorHAnsi" w:hAnsiTheme="minorHAnsi"/>
          <w:sz w:val="22"/>
          <w:szCs w:val="22"/>
        </w:rPr>
        <w:t>“</w:t>
      </w:r>
      <w:r w:rsidR="0096438C" w:rsidRPr="000F5113">
        <w:rPr>
          <w:rFonts w:asciiTheme="minorHAnsi" w:hAnsiTheme="minorHAnsi"/>
          <w:sz w:val="22"/>
          <w:szCs w:val="22"/>
          <w:shd w:val="clear" w:color="auto" w:fill="FFFFFF"/>
        </w:rPr>
        <w:t>The proposals for strengthening the levers of integration – leadership and accountability, financial frameworks, digital technology and data sharing, and workforce planning and development – are ambitious and will require major investment and support from national partners.</w:t>
      </w:r>
      <w:r w:rsidRPr="000F5113">
        <w:rPr>
          <w:rFonts w:asciiTheme="minorHAnsi" w:hAnsiTheme="minorHAnsi"/>
          <w:sz w:val="22"/>
          <w:szCs w:val="22"/>
          <w:shd w:val="clear" w:color="auto" w:fill="FFFFFF"/>
        </w:rPr>
        <w:t>”</w:t>
      </w:r>
      <w:r w:rsidR="00360B1E" w:rsidRPr="000F5113">
        <w:rPr>
          <w:rFonts w:asciiTheme="minorHAnsi" w:hAnsiTheme="minorHAnsi"/>
          <w:sz w:val="22"/>
          <w:szCs w:val="22"/>
          <w:shd w:val="clear" w:color="auto" w:fill="FFFFFF"/>
        </w:rPr>
        <w:t xml:space="preserve"> </w:t>
      </w:r>
    </w:p>
    <w:p w14:paraId="1F95762A" w14:textId="6156ED47" w:rsidR="00360B1E" w:rsidRPr="000F5113" w:rsidRDefault="007A0F06" w:rsidP="007A0F06">
      <w:pPr>
        <w:pStyle w:val="NormalWeb"/>
        <w:shd w:val="clear" w:color="auto" w:fill="FFFFFF"/>
        <w:spacing w:before="0" w:beforeAutospacing="0" w:after="0" w:afterAutospacing="0"/>
        <w:rPr>
          <w:rFonts w:asciiTheme="minorHAnsi" w:hAnsiTheme="minorHAnsi"/>
          <w:sz w:val="22"/>
          <w:szCs w:val="22"/>
        </w:rPr>
      </w:pPr>
      <w:r w:rsidRPr="000F5113">
        <w:rPr>
          <w:rFonts w:asciiTheme="minorHAnsi" w:hAnsiTheme="minorHAnsi"/>
          <w:sz w:val="22"/>
          <w:szCs w:val="22"/>
          <w:shd w:val="clear" w:color="auto" w:fill="FFFFFF"/>
        </w:rPr>
        <w:t xml:space="preserve">They add that without adequate resources for adult social care and public health, local authorities will be “limited </w:t>
      </w:r>
      <w:r w:rsidR="00360B1E" w:rsidRPr="000F5113">
        <w:rPr>
          <w:rStyle w:val="Hyperlink"/>
          <w:rFonts w:asciiTheme="minorHAnsi" w:hAnsiTheme="minorHAnsi"/>
          <w:color w:val="auto"/>
          <w:sz w:val="22"/>
          <w:szCs w:val="22"/>
          <w:u w:val="none"/>
        </w:rPr>
        <w:t>in their ability to contribute to pooled and aligned budgets.”</w:t>
      </w:r>
      <w:r w:rsidRPr="000F5113">
        <w:rPr>
          <w:rStyle w:val="Hyperlink"/>
          <w:rFonts w:asciiTheme="minorHAnsi" w:hAnsiTheme="minorHAnsi"/>
          <w:color w:val="auto"/>
          <w:sz w:val="22"/>
          <w:szCs w:val="22"/>
          <w:u w:val="none"/>
        </w:rPr>
        <w:t xml:space="preserve"> </w:t>
      </w:r>
    </w:p>
    <w:p w14:paraId="081F1222" w14:textId="43E2FCCE" w:rsidR="0096438C" w:rsidRPr="000F5113" w:rsidRDefault="0096438C" w:rsidP="00210A48">
      <w:pPr>
        <w:rPr>
          <w:rFonts w:cs="Times New Roman"/>
          <w:color w:val="FF0000"/>
          <w:sz w:val="22"/>
          <w:szCs w:val="22"/>
        </w:rPr>
      </w:pPr>
    </w:p>
    <w:p w14:paraId="5631BE79" w14:textId="522BD242" w:rsidR="007E039D" w:rsidRPr="000F5113" w:rsidRDefault="00BA5579">
      <w:pPr>
        <w:rPr>
          <w:rFonts w:cs="Times New Roman"/>
          <w:b/>
          <w:sz w:val="22"/>
          <w:szCs w:val="22"/>
        </w:rPr>
      </w:pPr>
      <w:r w:rsidRPr="000F5113">
        <w:rPr>
          <w:rFonts w:cs="Times New Roman"/>
          <w:b/>
          <w:sz w:val="22"/>
          <w:szCs w:val="22"/>
        </w:rPr>
        <w:t>3.4</w:t>
      </w:r>
      <w:r w:rsidR="00E206EE" w:rsidRPr="000F5113">
        <w:rPr>
          <w:rFonts w:cs="Times New Roman"/>
          <w:b/>
          <w:sz w:val="22"/>
          <w:szCs w:val="22"/>
        </w:rPr>
        <w:t xml:space="preserve"> </w:t>
      </w:r>
      <w:r w:rsidR="00A700B5" w:rsidRPr="000F5113">
        <w:rPr>
          <w:rFonts w:cs="Times New Roman"/>
          <w:b/>
          <w:sz w:val="22"/>
          <w:szCs w:val="22"/>
        </w:rPr>
        <w:t>W</w:t>
      </w:r>
      <w:r w:rsidR="00B879DE" w:rsidRPr="000F5113">
        <w:rPr>
          <w:rFonts w:cs="Times New Roman"/>
          <w:b/>
          <w:sz w:val="22"/>
          <w:szCs w:val="22"/>
        </w:rPr>
        <w:t>orkforce</w:t>
      </w:r>
    </w:p>
    <w:p w14:paraId="5185A950" w14:textId="500769F3" w:rsidR="00AA5DFC" w:rsidRPr="000F5113" w:rsidRDefault="00AA5DFC">
      <w:pPr>
        <w:rPr>
          <w:rFonts w:cs="Times New Roman"/>
          <w:sz w:val="22"/>
          <w:szCs w:val="22"/>
          <w:vertAlign w:val="superscript"/>
        </w:rPr>
      </w:pPr>
      <w:r w:rsidRPr="000F5113">
        <w:rPr>
          <w:rFonts w:cs="Times New Roman"/>
          <w:sz w:val="22"/>
          <w:szCs w:val="22"/>
        </w:rPr>
        <w:t xml:space="preserve">The White Paper claims that </w:t>
      </w:r>
      <w:r w:rsidR="006D1DDF" w:rsidRPr="000F5113">
        <w:rPr>
          <w:rFonts w:cs="Times New Roman"/>
          <w:sz w:val="22"/>
          <w:szCs w:val="22"/>
        </w:rPr>
        <w:t>there is already progress in developing the health and social care workforce within the legislative framework for partnership working in the Health and Care Bill</w:t>
      </w:r>
      <w:r w:rsidR="00AB506D" w:rsidRPr="000F5113">
        <w:rPr>
          <w:rFonts w:cs="Times New Roman"/>
          <w:sz w:val="22"/>
          <w:szCs w:val="22"/>
        </w:rPr>
        <w:t xml:space="preserve"> and through investment for social care</w:t>
      </w:r>
      <w:r w:rsidR="007A0F06" w:rsidRPr="000F5113">
        <w:rPr>
          <w:rFonts w:cs="Times New Roman"/>
          <w:sz w:val="22"/>
          <w:szCs w:val="22"/>
        </w:rPr>
        <w:t xml:space="preserve">. It </w:t>
      </w:r>
      <w:r w:rsidR="000E2812" w:rsidRPr="000F5113">
        <w:rPr>
          <w:rFonts w:cs="Times New Roman"/>
          <w:sz w:val="22"/>
          <w:szCs w:val="22"/>
        </w:rPr>
        <w:t>claim</w:t>
      </w:r>
      <w:r w:rsidR="007A0F06" w:rsidRPr="000F5113">
        <w:rPr>
          <w:rFonts w:cs="Times New Roman"/>
          <w:sz w:val="22"/>
          <w:szCs w:val="22"/>
        </w:rPr>
        <w:t>s, for example</w:t>
      </w:r>
      <w:r w:rsidR="00A825F7" w:rsidRPr="000F5113">
        <w:rPr>
          <w:rFonts w:cs="Times New Roman"/>
          <w:sz w:val="22"/>
          <w:szCs w:val="22"/>
        </w:rPr>
        <w:t>,</w:t>
      </w:r>
      <w:r w:rsidR="007A0F06" w:rsidRPr="000F5113">
        <w:rPr>
          <w:rFonts w:cs="Times New Roman"/>
          <w:sz w:val="22"/>
          <w:szCs w:val="22"/>
        </w:rPr>
        <w:t xml:space="preserve"> to be delivering 50,000 more nurses for the NHS</w:t>
      </w:r>
      <w:r w:rsidR="00A825F7" w:rsidRPr="000F5113">
        <w:rPr>
          <w:rFonts w:cs="Times New Roman"/>
          <w:sz w:val="22"/>
          <w:szCs w:val="22"/>
        </w:rPr>
        <w:t>, while the government’s Adult Social Care Reform paper aims to transform the workforce throug</w:t>
      </w:r>
      <w:r w:rsidR="00E04D74" w:rsidRPr="000F5113">
        <w:rPr>
          <w:rFonts w:cs="Times New Roman"/>
          <w:sz w:val="22"/>
          <w:szCs w:val="22"/>
        </w:rPr>
        <w:t>h an investment of £500 million</w:t>
      </w:r>
      <w:r w:rsidR="00BA5579" w:rsidRPr="000F5113">
        <w:rPr>
          <w:rFonts w:cs="Times New Roman"/>
          <w:sz w:val="22"/>
          <w:szCs w:val="22"/>
        </w:rPr>
        <w:t>.</w:t>
      </w:r>
      <w:r w:rsidR="00BA5579" w:rsidRPr="000F5113">
        <w:rPr>
          <w:rStyle w:val="FootnoteReference"/>
          <w:rFonts w:cs="Times New Roman"/>
          <w:sz w:val="22"/>
          <w:szCs w:val="22"/>
        </w:rPr>
        <w:footnoteReference w:id="4"/>
      </w:r>
    </w:p>
    <w:p w14:paraId="4FB49EA8" w14:textId="77777777" w:rsidR="00E3103C" w:rsidRPr="000F5113" w:rsidRDefault="00E3103C" w:rsidP="00E3103C">
      <w:pPr>
        <w:rPr>
          <w:rFonts w:cs="Times New Roman"/>
          <w:strike/>
          <w:color w:val="3366FF"/>
          <w:sz w:val="22"/>
          <w:szCs w:val="22"/>
        </w:rPr>
      </w:pPr>
    </w:p>
    <w:p w14:paraId="40045B42" w14:textId="4410D4C0" w:rsidR="00455410" w:rsidRPr="000F5113" w:rsidRDefault="005812B6" w:rsidP="00792E5B">
      <w:pPr>
        <w:rPr>
          <w:rFonts w:cs="Times New Roman"/>
          <w:b/>
          <w:sz w:val="22"/>
          <w:szCs w:val="22"/>
        </w:rPr>
      </w:pPr>
      <w:r w:rsidRPr="000F5113">
        <w:rPr>
          <w:rFonts w:cs="Times New Roman"/>
          <w:b/>
          <w:sz w:val="22"/>
          <w:szCs w:val="22"/>
        </w:rPr>
        <w:t>3.4.1 Workforce</w:t>
      </w:r>
      <w:r w:rsidR="0057350D" w:rsidRPr="000F5113">
        <w:rPr>
          <w:rFonts w:cs="Times New Roman"/>
          <w:b/>
          <w:sz w:val="22"/>
          <w:szCs w:val="22"/>
        </w:rPr>
        <w:t xml:space="preserve"> planning</w:t>
      </w:r>
      <w:r w:rsidR="00A16987" w:rsidRPr="000F5113">
        <w:rPr>
          <w:rFonts w:cs="Times New Roman"/>
          <w:b/>
          <w:sz w:val="22"/>
          <w:szCs w:val="22"/>
        </w:rPr>
        <w:t xml:space="preserve"> for ‘one workforce’</w:t>
      </w:r>
    </w:p>
    <w:p w14:paraId="76AFD8BC" w14:textId="7D0F22A2" w:rsidR="00455410" w:rsidRPr="000F5113" w:rsidRDefault="00A825F7" w:rsidP="00792E5B">
      <w:pPr>
        <w:rPr>
          <w:rFonts w:cs="Times New Roman"/>
          <w:strike/>
          <w:color w:val="3366FF"/>
          <w:sz w:val="22"/>
          <w:szCs w:val="22"/>
        </w:rPr>
      </w:pPr>
      <w:r w:rsidRPr="000F5113">
        <w:rPr>
          <w:rFonts w:cs="Times New Roman"/>
          <w:sz w:val="22"/>
          <w:szCs w:val="22"/>
        </w:rPr>
        <w:t xml:space="preserve">The White Paper </w:t>
      </w:r>
      <w:r w:rsidR="00CE1EB1" w:rsidRPr="000F5113">
        <w:rPr>
          <w:rFonts w:cs="Times New Roman"/>
          <w:sz w:val="22"/>
          <w:szCs w:val="22"/>
        </w:rPr>
        <w:t xml:space="preserve">promotes integration of the workforce by removing barriers to collaborative workforce planning and working. It flags up some of the problems, </w:t>
      </w:r>
      <w:r w:rsidR="00455410" w:rsidRPr="000F5113">
        <w:rPr>
          <w:rFonts w:cs="Times New Roman"/>
          <w:sz w:val="22"/>
          <w:szCs w:val="22"/>
        </w:rPr>
        <w:t>such as structural and financial barriers</w:t>
      </w:r>
      <w:r w:rsidR="0092440A" w:rsidRPr="000F5113">
        <w:rPr>
          <w:rFonts w:cs="Times New Roman"/>
          <w:sz w:val="22"/>
          <w:szCs w:val="22"/>
        </w:rPr>
        <w:t xml:space="preserve"> (</w:t>
      </w:r>
      <w:r w:rsidR="0092440A" w:rsidRPr="000F5113">
        <w:rPr>
          <w:rFonts w:cs="Times New Roman"/>
          <w:b/>
          <w:sz w:val="22"/>
          <w:szCs w:val="22"/>
        </w:rPr>
        <w:t>“</w:t>
      </w:r>
      <w:r w:rsidR="0092440A" w:rsidRPr="000F5113">
        <w:rPr>
          <w:rFonts w:cs="Times New Roman"/>
          <w:sz w:val="22"/>
          <w:szCs w:val="22"/>
        </w:rPr>
        <w:t>social care providers and local authorities frequently compete with the NHS, or each other, to attract and retain staff”)</w:t>
      </w:r>
      <w:r w:rsidR="00455410" w:rsidRPr="000F5113">
        <w:rPr>
          <w:rFonts w:cs="Times New Roman"/>
          <w:sz w:val="22"/>
          <w:szCs w:val="22"/>
        </w:rPr>
        <w:t xml:space="preserve">, especially when factoring in that joined-up care, support and treatment may involve public health, community health services, education, housing and homeless provision voluntary services and unpaid carers. In addition </w:t>
      </w:r>
      <w:r w:rsidR="00CE1EB1" w:rsidRPr="000F5113">
        <w:rPr>
          <w:rFonts w:cs="Times New Roman"/>
          <w:sz w:val="22"/>
          <w:szCs w:val="22"/>
        </w:rPr>
        <w:t xml:space="preserve">adult social care is largely a private sector market while workforce planning is devolved to publicly accountable local authorities. </w:t>
      </w:r>
    </w:p>
    <w:p w14:paraId="3C73DEDF" w14:textId="77777777" w:rsidR="00455410" w:rsidRPr="000F5113" w:rsidRDefault="00455410" w:rsidP="00792E5B">
      <w:pPr>
        <w:rPr>
          <w:rFonts w:cs="Times New Roman"/>
          <w:strike/>
          <w:color w:val="3366FF"/>
          <w:sz w:val="22"/>
          <w:szCs w:val="22"/>
        </w:rPr>
      </w:pPr>
    </w:p>
    <w:p w14:paraId="3B3A73FC" w14:textId="29357A46" w:rsidR="000B0153" w:rsidRPr="000F5113" w:rsidRDefault="00455410" w:rsidP="000B0153">
      <w:pPr>
        <w:rPr>
          <w:rFonts w:cs="Times New Roman"/>
          <w:sz w:val="22"/>
          <w:szCs w:val="22"/>
        </w:rPr>
      </w:pPr>
      <w:r w:rsidRPr="000F5113">
        <w:rPr>
          <w:rFonts w:cs="Times New Roman"/>
          <w:sz w:val="22"/>
          <w:szCs w:val="22"/>
        </w:rPr>
        <w:t>The White paper promises “</w:t>
      </w:r>
      <w:r w:rsidR="00792E5B" w:rsidRPr="000F5113">
        <w:rPr>
          <w:rFonts w:cs="Times New Roman"/>
          <w:sz w:val="22"/>
          <w:szCs w:val="22"/>
        </w:rPr>
        <w:t>We will continue t</w:t>
      </w:r>
      <w:r w:rsidR="00BF7FB1" w:rsidRPr="000F5113">
        <w:rPr>
          <w:rFonts w:cs="Times New Roman"/>
          <w:sz w:val="22"/>
          <w:szCs w:val="22"/>
        </w:rPr>
        <w:t xml:space="preserve">o </w:t>
      </w:r>
      <w:r w:rsidR="00792E5B" w:rsidRPr="000F5113">
        <w:rPr>
          <w:rFonts w:cs="Times New Roman"/>
          <w:sz w:val="22"/>
          <w:szCs w:val="22"/>
        </w:rPr>
        <w:t>work closely with local authorities and care providers to monitor workforce pressures, including identifying whether further action may be required.</w:t>
      </w:r>
      <w:r w:rsidR="003C1ECE" w:rsidRPr="000F5113">
        <w:rPr>
          <w:rFonts w:cs="Times New Roman"/>
          <w:sz w:val="22"/>
          <w:szCs w:val="22"/>
        </w:rPr>
        <w:t xml:space="preserve">”  </w:t>
      </w:r>
      <w:r w:rsidR="00CE1EB1" w:rsidRPr="000F5113">
        <w:rPr>
          <w:rFonts w:cs="Times New Roman"/>
          <w:sz w:val="22"/>
          <w:szCs w:val="22"/>
        </w:rPr>
        <w:t xml:space="preserve">However, it does not specify </w:t>
      </w:r>
      <w:r w:rsidR="003C1ECE" w:rsidRPr="000F5113">
        <w:rPr>
          <w:rFonts w:cs="Times New Roman"/>
          <w:sz w:val="22"/>
          <w:szCs w:val="22"/>
        </w:rPr>
        <w:t>what such ‘action’ might include</w:t>
      </w:r>
      <w:r w:rsidR="00CE1EB1" w:rsidRPr="000F5113">
        <w:rPr>
          <w:rFonts w:cs="Times New Roman"/>
          <w:sz w:val="22"/>
          <w:szCs w:val="22"/>
        </w:rPr>
        <w:t>, or how</w:t>
      </w:r>
      <w:r w:rsidR="00797310" w:rsidRPr="000F5113">
        <w:rPr>
          <w:rFonts w:cs="Times New Roman"/>
          <w:sz w:val="22"/>
          <w:szCs w:val="22"/>
        </w:rPr>
        <w:t xml:space="preserve"> ‘difficult workforce capacity issues’ might be resolved</w:t>
      </w:r>
      <w:r w:rsidR="004C6A8C" w:rsidRPr="000F5113">
        <w:rPr>
          <w:rFonts w:cs="Times New Roman"/>
          <w:sz w:val="22"/>
          <w:szCs w:val="22"/>
        </w:rPr>
        <w:t>, other than saying that l</w:t>
      </w:r>
      <w:r w:rsidR="006838FA" w:rsidRPr="000F5113">
        <w:rPr>
          <w:rFonts w:cs="Times New Roman"/>
          <w:sz w:val="22"/>
          <w:szCs w:val="22"/>
        </w:rPr>
        <w:t>ocal government and NHSE will gather “intelligence about the experience and aspirations of people who use care and support services</w:t>
      </w:r>
      <w:r w:rsidR="001E0976" w:rsidRPr="000F5113">
        <w:rPr>
          <w:rFonts w:cs="Times New Roman"/>
          <w:sz w:val="22"/>
          <w:szCs w:val="22"/>
        </w:rPr>
        <w:t xml:space="preserve">” and </w:t>
      </w:r>
      <w:r w:rsidR="00F02B41" w:rsidRPr="000F5113">
        <w:rPr>
          <w:rFonts w:cs="Times New Roman"/>
          <w:sz w:val="22"/>
          <w:szCs w:val="22"/>
        </w:rPr>
        <w:t xml:space="preserve">incorporate this into the development of guidance for ICPs, so </w:t>
      </w:r>
      <w:r w:rsidR="001E0976" w:rsidRPr="000F5113">
        <w:rPr>
          <w:rFonts w:cs="Times New Roman"/>
          <w:sz w:val="22"/>
          <w:szCs w:val="22"/>
        </w:rPr>
        <w:t xml:space="preserve">all within </w:t>
      </w:r>
      <w:r w:rsidR="00F02B41" w:rsidRPr="000F5113">
        <w:rPr>
          <w:rFonts w:cs="Times New Roman"/>
          <w:sz w:val="22"/>
          <w:szCs w:val="22"/>
        </w:rPr>
        <w:t xml:space="preserve">an ICS are clear on the role they can play in integrated workforce planning </w:t>
      </w:r>
      <w:r w:rsidR="001E0976" w:rsidRPr="000F5113">
        <w:rPr>
          <w:rFonts w:cs="Times New Roman"/>
          <w:sz w:val="22"/>
          <w:szCs w:val="22"/>
        </w:rPr>
        <w:t xml:space="preserve">and </w:t>
      </w:r>
      <w:r w:rsidR="001D7FF5" w:rsidRPr="000F5113">
        <w:rPr>
          <w:rFonts w:cs="Times New Roman"/>
          <w:sz w:val="22"/>
          <w:szCs w:val="22"/>
        </w:rPr>
        <w:t>support</w:t>
      </w:r>
      <w:r w:rsidR="001E0976" w:rsidRPr="000F5113">
        <w:rPr>
          <w:rFonts w:cs="Times New Roman"/>
          <w:sz w:val="22"/>
          <w:szCs w:val="22"/>
        </w:rPr>
        <w:t>ing</w:t>
      </w:r>
      <w:r w:rsidR="001D7FF5" w:rsidRPr="000F5113">
        <w:rPr>
          <w:rFonts w:cs="Times New Roman"/>
          <w:sz w:val="22"/>
          <w:szCs w:val="22"/>
        </w:rPr>
        <w:t xml:space="preserve"> places develop a ‘one workforce’ approach.</w:t>
      </w:r>
      <w:r w:rsidR="000B0153" w:rsidRPr="000F5113">
        <w:rPr>
          <w:rFonts w:cs="Times New Roman"/>
          <w:sz w:val="22"/>
          <w:szCs w:val="22"/>
        </w:rPr>
        <w:t xml:space="preserve"> </w:t>
      </w:r>
    </w:p>
    <w:p w14:paraId="188035E0" w14:textId="099F997C" w:rsidR="00B65413" w:rsidRPr="000F5113" w:rsidRDefault="00B65413" w:rsidP="000B0153">
      <w:pPr>
        <w:rPr>
          <w:rFonts w:cs="Times New Roman"/>
          <w:sz w:val="22"/>
          <w:szCs w:val="22"/>
        </w:rPr>
      </w:pPr>
    </w:p>
    <w:p w14:paraId="259CF665" w14:textId="4D30D4CE" w:rsidR="00B65413" w:rsidRPr="000F5113" w:rsidRDefault="0080086E" w:rsidP="00B65413">
      <w:pPr>
        <w:rPr>
          <w:rFonts w:cs="Times New Roman"/>
          <w:b/>
          <w:bCs/>
          <w:sz w:val="22"/>
          <w:szCs w:val="22"/>
        </w:rPr>
      </w:pPr>
      <w:r w:rsidRPr="000F5113">
        <w:rPr>
          <w:rFonts w:cs="Times New Roman"/>
          <w:b/>
          <w:bCs/>
          <w:sz w:val="22"/>
          <w:szCs w:val="22"/>
        </w:rPr>
        <w:t>3.4.2</w:t>
      </w:r>
      <w:r w:rsidR="00B65413" w:rsidRPr="000F5113">
        <w:rPr>
          <w:rFonts w:cs="Times New Roman"/>
          <w:b/>
          <w:bCs/>
          <w:sz w:val="22"/>
          <w:szCs w:val="22"/>
        </w:rPr>
        <w:t xml:space="preserve"> Workforce Integration</w:t>
      </w:r>
    </w:p>
    <w:p w14:paraId="11A53DFC" w14:textId="61FDB5A7" w:rsidR="00B65413" w:rsidRPr="000F5113" w:rsidRDefault="00B65413" w:rsidP="00B65413">
      <w:pPr>
        <w:rPr>
          <w:rFonts w:cs="Times New Roman"/>
          <w:sz w:val="22"/>
          <w:szCs w:val="22"/>
        </w:rPr>
      </w:pPr>
      <w:r w:rsidRPr="000F5113">
        <w:rPr>
          <w:rFonts w:cs="Times New Roman"/>
          <w:sz w:val="22"/>
          <w:szCs w:val="22"/>
        </w:rPr>
        <w:t xml:space="preserve">The White Paper says that to deliver shared outcomes and Place-Based Workforce Integration “local leaders will need to consider how the health and care workforce in </w:t>
      </w:r>
    </w:p>
    <w:p w14:paraId="5D2EA27B" w14:textId="114D923A" w:rsidR="00A80796" w:rsidRPr="000F5113" w:rsidRDefault="00A80796" w:rsidP="00A80796">
      <w:pPr>
        <w:rPr>
          <w:rFonts w:cs="Times New Roman"/>
          <w:i/>
          <w:iCs/>
          <w:sz w:val="22"/>
          <w:szCs w:val="22"/>
        </w:rPr>
      </w:pPr>
      <w:r w:rsidRPr="000F5113">
        <w:rPr>
          <w:rFonts w:cs="Times New Roman"/>
          <w:sz w:val="22"/>
          <w:szCs w:val="22"/>
        </w:rPr>
        <w:t xml:space="preserve">the area can be deployed in the most effective way. This should prevent duplication </w:t>
      </w:r>
    </w:p>
    <w:p w14:paraId="31D8F7C6" w14:textId="77777777" w:rsidR="00B65413" w:rsidRPr="000F5113" w:rsidRDefault="00B65413" w:rsidP="00B65413">
      <w:pPr>
        <w:rPr>
          <w:rFonts w:cs="Times New Roman"/>
          <w:sz w:val="22"/>
          <w:szCs w:val="22"/>
        </w:rPr>
      </w:pPr>
      <w:r w:rsidRPr="000F5113">
        <w:rPr>
          <w:rFonts w:cs="Times New Roman"/>
          <w:sz w:val="22"/>
          <w:szCs w:val="22"/>
        </w:rPr>
        <w:t xml:space="preserve">across health and care, consider the impacts of one sector on the other, and ensure that citizens’ contact with members of both workforces is coherent and coordinated.” </w:t>
      </w:r>
    </w:p>
    <w:p w14:paraId="69323006" w14:textId="77777777" w:rsidR="00A80796" w:rsidRPr="000F5113" w:rsidRDefault="00A80796" w:rsidP="000B0153">
      <w:pPr>
        <w:rPr>
          <w:rFonts w:cs="Times New Roman"/>
          <w:sz w:val="22"/>
          <w:szCs w:val="22"/>
        </w:rPr>
      </w:pPr>
    </w:p>
    <w:p w14:paraId="097C97BA" w14:textId="55B05824" w:rsidR="0090311F" w:rsidRPr="000F5113" w:rsidRDefault="00564D88" w:rsidP="000B0153">
      <w:pPr>
        <w:rPr>
          <w:rFonts w:cs="Times New Roman"/>
          <w:strike/>
          <w:color w:val="FF0000"/>
          <w:sz w:val="22"/>
          <w:szCs w:val="22"/>
        </w:rPr>
      </w:pPr>
      <w:r w:rsidRPr="000F5113">
        <w:rPr>
          <w:rFonts w:cs="Times New Roman"/>
          <w:sz w:val="22"/>
          <w:szCs w:val="22"/>
        </w:rPr>
        <w:t xml:space="preserve">It </w:t>
      </w:r>
      <w:r w:rsidR="005B54FD" w:rsidRPr="000F5113">
        <w:rPr>
          <w:rFonts w:cs="Times New Roman"/>
          <w:sz w:val="22"/>
          <w:szCs w:val="22"/>
        </w:rPr>
        <w:t xml:space="preserve">suggests </w:t>
      </w:r>
      <w:r w:rsidR="007E039D" w:rsidRPr="000F5113">
        <w:rPr>
          <w:rFonts w:cs="Times New Roman"/>
          <w:sz w:val="22"/>
          <w:szCs w:val="22"/>
        </w:rPr>
        <w:t>a</w:t>
      </w:r>
      <w:r w:rsidR="00950936" w:rsidRPr="000F5113">
        <w:rPr>
          <w:rFonts w:cs="Times New Roman"/>
          <w:sz w:val="22"/>
          <w:szCs w:val="22"/>
        </w:rPr>
        <w:t xml:space="preserve"> difference between responsibilities at the</w:t>
      </w:r>
      <w:r w:rsidR="005B54FD" w:rsidRPr="000F5113">
        <w:rPr>
          <w:rFonts w:cs="Times New Roman"/>
          <w:sz w:val="22"/>
          <w:szCs w:val="22"/>
        </w:rPr>
        <w:t xml:space="preserve"> ICS level and </w:t>
      </w:r>
      <w:r w:rsidR="00950936" w:rsidRPr="000F5113">
        <w:rPr>
          <w:rFonts w:cs="Times New Roman"/>
          <w:sz w:val="22"/>
          <w:szCs w:val="22"/>
        </w:rPr>
        <w:t>at place level</w:t>
      </w:r>
      <w:r w:rsidRPr="000F5113">
        <w:rPr>
          <w:rFonts w:cs="Times New Roman"/>
          <w:sz w:val="22"/>
          <w:szCs w:val="22"/>
        </w:rPr>
        <w:t>: “</w:t>
      </w:r>
      <w:r w:rsidR="0090311F" w:rsidRPr="000F5113">
        <w:rPr>
          <w:rFonts w:cs="Times New Roman"/>
          <w:sz w:val="22"/>
          <w:szCs w:val="22"/>
        </w:rPr>
        <w:t>While national action can foster the conditions for workforce integration, to make this a reality, places must implement integration in a way that meets their needs.</w:t>
      </w:r>
      <w:r w:rsidR="004C6A8C" w:rsidRPr="000F5113">
        <w:rPr>
          <w:rFonts w:cs="Times New Roman"/>
          <w:sz w:val="22"/>
          <w:szCs w:val="22"/>
        </w:rPr>
        <w:t xml:space="preserve">” </w:t>
      </w:r>
      <w:r w:rsidR="00E36695" w:rsidRPr="000F5113">
        <w:rPr>
          <w:rFonts w:cs="Times New Roman"/>
          <w:sz w:val="22"/>
          <w:szCs w:val="22"/>
        </w:rPr>
        <w:t xml:space="preserve">In order to make this happen, “Local leaders will need to think about what workforce integration looks like in their area, the conditions that are needed, the practical steps required, and who needs to be involved in shaping this.”  Given that ICBs will have the flexibility to determine governance arrangements in their area – including the ability to create committees and delegate functions to them – it means that local ‘place’-based committees can be created to plan care.  Furthermore, </w:t>
      </w:r>
      <w:r w:rsidR="000230EE" w:rsidRPr="000F5113">
        <w:rPr>
          <w:rFonts w:cs="Times New Roman"/>
          <w:sz w:val="22"/>
          <w:szCs w:val="22"/>
        </w:rPr>
        <w:t>“Places must build a culture that supports integrated service delivery, sets a shared vision, develops a common language that truly covers the whole workforce, and engenders a culture of partnership.</w:t>
      </w:r>
      <w:r w:rsidR="001E0976" w:rsidRPr="000F5113">
        <w:rPr>
          <w:rFonts w:cs="Times New Roman"/>
          <w:sz w:val="22"/>
          <w:szCs w:val="22"/>
        </w:rPr>
        <w:t xml:space="preserve">” </w:t>
      </w:r>
    </w:p>
    <w:p w14:paraId="74475FB7" w14:textId="77777777" w:rsidR="0092440A" w:rsidRPr="000F5113" w:rsidRDefault="0092440A" w:rsidP="0092440A">
      <w:pPr>
        <w:rPr>
          <w:rFonts w:cs="Times New Roman"/>
          <w:sz w:val="22"/>
          <w:szCs w:val="22"/>
        </w:rPr>
      </w:pPr>
    </w:p>
    <w:p w14:paraId="09F20238" w14:textId="3388A7AA" w:rsidR="001D031F" w:rsidRPr="000F5113" w:rsidRDefault="001E0976" w:rsidP="000B0153">
      <w:pPr>
        <w:rPr>
          <w:rFonts w:cs="Times New Roman"/>
          <w:sz w:val="22"/>
          <w:szCs w:val="22"/>
        </w:rPr>
      </w:pPr>
      <w:r w:rsidRPr="000F5113">
        <w:rPr>
          <w:rFonts w:cs="Times New Roman"/>
          <w:sz w:val="22"/>
          <w:szCs w:val="22"/>
        </w:rPr>
        <w:t xml:space="preserve">In addition, training and learning together </w:t>
      </w:r>
      <w:r w:rsidR="00725369" w:rsidRPr="000F5113">
        <w:rPr>
          <w:rFonts w:cs="Times New Roman"/>
          <w:sz w:val="22"/>
          <w:szCs w:val="22"/>
        </w:rPr>
        <w:t xml:space="preserve">will play </w:t>
      </w:r>
      <w:r w:rsidR="00962E03" w:rsidRPr="000F5113">
        <w:rPr>
          <w:rFonts w:cs="Times New Roman"/>
          <w:sz w:val="22"/>
          <w:szCs w:val="22"/>
        </w:rPr>
        <w:t xml:space="preserve">a key role in </w:t>
      </w:r>
      <w:r w:rsidR="00725369" w:rsidRPr="000F5113">
        <w:rPr>
          <w:rFonts w:cs="Times New Roman"/>
          <w:sz w:val="22"/>
          <w:szCs w:val="22"/>
        </w:rPr>
        <w:t xml:space="preserve">developing </w:t>
      </w:r>
      <w:r w:rsidR="00962E03" w:rsidRPr="000F5113">
        <w:rPr>
          <w:rFonts w:cs="Times New Roman"/>
          <w:sz w:val="22"/>
          <w:szCs w:val="22"/>
        </w:rPr>
        <w:t xml:space="preserve">an integrated workforce, </w:t>
      </w:r>
      <w:r w:rsidR="00725369" w:rsidRPr="000F5113">
        <w:rPr>
          <w:rFonts w:cs="Times New Roman"/>
          <w:sz w:val="22"/>
          <w:szCs w:val="22"/>
        </w:rPr>
        <w:t>“</w:t>
      </w:r>
      <w:r w:rsidR="00962E03" w:rsidRPr="000F5113">
        <w:rPr>
          <w:rFonts w:cs="Times New Roman"/>
          <w:sz w:val="22"/>
          <w:szCs w:val="22"/>
        </w:rPr>
        <w:t>with staff from different sectors, and teams within a sector, learning together and gaining an understanding of the roles of others they work with.</w:t>
      </w:r>
      <w:r w:rsidR="008B4057" w:rsidRPr="000F5113">
        <w:rPr>
          <w:rFonts w:cs="Times New Roman"/>
          <w:sz w:val="22"/>
          <w:szCs w:val="22"/>
        </w:rPr>
        <w:t xml:space="preserve">”  </w:t>
      </w:r>
    </w:p>
    <w:p w14:paraId="1C94F2FC" w14:textId="77777777" w:rsidR="00725369" w:rsidRPr="000F5113" w:rsidRDefault="00725369" w:rsidP="000B0153">
      <w:pPr>
        <w:rPr>
          <w:rFonts w:cs="Times New Roman"/>
          <w:sz w:val="22"/>
          <w:szCs w:val="22"/>
        </w:rPr>
      </w:pPr>
    </w:p>
    <w:p w14:paraId="6DEE8957" w14:textId="164D4824" w:rsidR="00C01EE2" w:rsidRPr="000F5113" w:rsidRDefault="001D031F" w:rsidP="00792E5B">
      <w:pPr>
        <w:rPr>
          <w:rFonts w:cs="Times New Roman"/>
          <w:sz w:val="22"/>
          <w:szCs w:val="22"/>
        </w:rPr>
      </w:pPr>
      <w:r w:rsidRPr="000F5113">
        <w:rPr>
          <w:rFonts w:cs="Times New Roman"/>
          <w:sz w:val="22"/>
          <w:szCs w:val="22"/>
        </w:rPr>
        <w:t xml:space="preserve">While </w:t>
      </w:r>
      <w:r w:rsidR="003A61B6" w:rsidRPr="000F5113">
        <w:rPr>
          <w:rFonts w:cs="Times New Roman"/>
          <w:sz w:val="22"/>
          <w:szCs w:val="22"/>
        </w:rPr>
        <w:t xml:space="preserve">this sounds positive it is not clear </w:t>
      </w:r>
      <w:r w:rsidR="008B4057" w:rsidRPr="000F5113">
        <w:rPr>
          <w:rFonts w:cs="Times New Roman"/>
          <w:sz w:val="22"/>
          <w:szCs w:val="22"/>
        </w:rPr>
        <w:t>who will provide</w:t>
      </w:r>
      <w:r w:rsidR="00777119" w:rsidRPr="000F5113">
        <w:rPr>
          <w:rFonts w:cs="Times New Roman"/>
          <w:sz w:val="22"/>
          <w:szCs w:val="22"/>
        </w:rPr>
        <w:t xml:space="preserve">, </w:t>
      </w:r>
      <w:proofErr w:type="gramStart"/>
      <w:r w:rsidR="00777119" w:rsidRPr="000F5113">
        <w:rPr>
          <w:rFonts w:cs="Times New Roman"/>
          <w:sz w:val="22"/>
          <w:szCs w:val="22"/>
        </w:rPr>
        <w:t>organise</w:t>
      </w:r>
      <w:proofErr w:type="gramEnd"/>
      <w:r w:rsidR="00777119" w:rsidRPr="000F5113">
        <w:rPr>
          <w:rFonts w:cs="Times New Roman"/>
          <w:sz w:val="22"/>
          <w:szCs w:val="22"/>
        </w:rPr>
        <w:t xml:space="preserve"> or </w:t>
      </w:r>
      <w:r w:rsidR="008B4057" w:rsidRPr="000F5113">
        <w:rPr>
          <w:rFonts w:cs="Times New Roman"/>
          <w:sz w:val="22"/>
          <w:szCs w:val="22"/>
        </w:rPr>
        <w:t>fund</w:t>
      </w:r>
      <w:r w:rsidR="003A61B6" w:rsidRPr="000F5113">
        <w:rPr>
          <w:rFonts w:cs="Times New Roman"/>
          <w:sz w:val="22"/>
          <w:szCs w:val="22"/>
        </w:rPr>
        <w:t xml:space="preserve"> this joint training and learning</w:t>
      </w:r>
      <w:r w:rsidR="00C07098" w:rsidRPr="000F5113">
        <w:rPr>
          <w:rFonts w:cs="Times New Roman"/>
          <w:sz w:val="22"/>
          <w:szCs w:val="22"/>
        </w:rPr>
        <w:t xml:space="preserve">, nor </w:t>
      </w:r>
      <w:r w:rsidR="00777119" w:rsidRPr="000F5113">
        <w:rPr>
          <w:rFonts w:cs="Times New Roman"/>
          <w:sz w:val="22"/>
          <w:szCs w:val="22"/>
        </w:rPr>
        <w:t>to what extent</w:t>
      </w:r>
      <w:r w:rsidR="00B471B7" w:rsidRPr="000F5113">
        <w:rPr>
          <w:rFonts w:cs="Times New Roman"/>
          <w:sz w:val="22"/>
          <w:szCs w:val="22"/>
        </w:rPr>
        <w:t xml:space="preserve"> this </w:t>
      </w:r>
      <w:r w:rsidR="00777119" w:rsidRPr="000F5113">
        <w:rPr>
          <w:rFonts w:cs="Times New Roman"/>
          <w:sz w:val="22"/>
          <w:szCs w:val="22"/>
        </w:rPr>
        <w:t xml:space="preserve">is </w:t>
      </w:r>
      <w:r w:rsidR="00B471B7" w:rsidRPr="000F5113">
        <w:rPr>
          <w:rFonts w:cs="Times New Roman"/>
          <w:sz w:val="22"/>
          <w:szCs w:val="22"/>
        </w:rPr>
        <w:t>all part of a move towards ‘one</w:t>
      </w:r>
      <w:r w:rsidR="00B471B7" w:rsidRPr="000F5113">
        <w:rPr>
          <w:rFonts w:cs="Times New Roman"/>
          <w:color w:val="3366FF"/>
          <w:sz w:val="22"/>
          <w:szCs w:val="22"/>
        </w:rPr>
        <w:t xml:space="preserve"> </w:t>
      </w:r>
      <w:r w:rsidR="00B471B7" w:rsidRPr="000F5113">
        <w:rPr>
          <w:rFonts w:cs="Times New Roman"/>
          <w:sz w:val="22"/>
          <w:szCs w:val="22"/>
        </w:rPr>
        <w:t xml:space="preserve">workforce’, </w:t>
      </w:r>
      <w:r w:rsidR="007E039D" w:rsidRPr="000F5113">
        <w:rPr>
          <w:rFonts w:cs="Times New Roman"/>
          <w:sz w:val="22"/>
          <w:szCs w:val="22"/>
        </w:rPr>
        <w:t xml:space="preserve">deskilling, and </w:t>
      </w:r>
      <w:r w:rsidR="00B471B7" w:rsidRPr="000F5113">
        <w:rPr>
          <w:rFonts w:cs="Times New Roman"/>
          <w:sz w:val="22"/>
          <w:szCs w:val="22"/>
        </w:rPr>
        <w:t>de</w:t>
      </w:r>
      <w:r w:rsidR="00BA5579" w:rsidRPr="000F5113">
        <w:rPr>
          <w:rFonts w:cs="Times New Roman"/>
          <w:sz w:val="22"/>
          <w:szCs w:val="22"/>
        </w:rPr>
        <w:t>-</w:t>
      </w:r>
      <w:r w:rsidR="00B471B7" w:rsidRPr="000F5113">
        <w:rPr>
          <w:rFonts w:cs="Times New Roman"/>
          <w:sz w:val="22"/>
          <w:szCs w:val="22"/>
        </w:rPr>
        <w:t>professionalisation</w:t>
      </w:r>
      <w:r w:rsidR="007E039D" w:rsidRPr="000F5113">
        <w:rPr>
          <w:rFonts w:cs="Times New Roman"/>
          <w:sz w:val="22"/>
          <w:szCs w:val="22"/>
        </w:rPr>
        <w:t>.</w:t>
      </w:r>
      <w:r w:rsidR="00725369" w:rsidRPr="000F5113">
        <w:rPr>
          <w:rFonts w:cs="Times New Roman"/>
          <w:sz w:val="22"/>
          <w:szCs w:val="22"/>
        </w:rPr>
        <w:t xml:space="preserve"> Significantly, </w:t>
      </w:r>
      <w:r w:rsidR="00C01EE2" w:rsidRPr="000F5113">
        <w:rPr>
          <w:rFonts w:cs="Times New Roman"/>
          <w:sz w:val="22"/>
          <w:szCs w:val="22"/>
        </w:rPr>
        <w:t xml:space="preserve">NHS Providers and the Local Government Association both question </w:t>
      </w:r>
      <w:r w:rsidR="000770A8" w:rsidRPr="000F5113">
        <w:rPr>
          <w:rFonts w:cs="Times New Roman"/>
          <w:sz w:val="22"/>
          <w:szCs w:val="22"/>
        </w:rPr>
        <w:t xml:space="preserve">the </w:t>
      </w:r>
      <w:r w:rsidR="00725369" w:rsidRPr="000F5113">
        <w:rPr>
          <w:rFonts w:cs="Times New Roman"/>
          <w:sz w:val="22"/>
          <w:szCs w:val="22"/>
        </w:rPr>
        <w:t>White Paper’s optimistic approach</w:t>
      </w:r>
      <w:r w:rsidR="000770A8" w:rsidRPr="000F5113">
        <w:rPr>
          <w:rFonts w:cs="Times New Roman"/>
          <w:sz w:val="22"/>
          <w:szCs w:val="22"/>
        </w:rPr>
        <w:t>.</w:t>
      </w:r>
      <w:r w:rsidR="00AF4120" w:rsidRPr="000F5113">
        <w:rPr>
          <w:rFonts w:cs="Times New Roman"/>
          <w:sz w:val="22"/>
          <w:szCs w:val="22"/>
        </w:rPr>
        <w:t xml:space="preserve">  In particular they point to the crucial factor</w:t>
      </w:r>
      <w:r w:rsidR="00A626B0" w:rsidRPr="000F5113">
        <w:rPr>
          <w:rFonts w:cs="Times New Roman"/>
          <w:sz w:val="22"/>
          <w:szCs w:val="22"/>
        </w:rPr>
        <w:t xml:space="preserve">s of staff shortages in both health and social care, and the lack of parity </w:t>
      </w:r>
      <w:r w:rsidR="002D0F5C" w:rsidRPr="000F5113">
        <w:rPr>
          <w:rFonts w:cs="Times New Roman"/>
          <w:sz w:val="22"/>
          <w:szCs w:val="22"/>
        </w:rPr>
        <w:t xml:space="preserve">in pay and conditions. </w:t>
      </w:r>
    </w:p>
    <w:p w14:paraId="79AF8FD1" w14:textId="77777777" w:rsidR="000770A8" w:rsidRPr="000F5113" w:rsidRDefault="000770A8" w:rsidP="00792E5B">
      <w:pPr>
        <w:rPr>
          <w:rFonts w:cs="Times New Roman"/>
          <w:color w:val="FF0000"/>
          <w:sz w:val="22"/>
          <w:szCs w:val="22"/>
        </w:rPr>
      </w:pPr>
    </w:p>
    <w:p w14:paraId="668A91E6" w14:textId="410FD334" w:rsidR="002078D1" w:rsidRPr="000F5113" w:rsidRDefault="00BE2DBC" w:rsidP="002078D1">
      <w:pPr>
        <w:spacing w:after="300"/>
        <w:rPr>
          <w:rFonts w:cs="Times New Roman"/>
          <w:color w:val="464B51"/>
          <w:sz w:val="22"/>
          <w:szCs w:val="22"/>
        </w:rPr>
      </w:pPr>
      <w:r w:rsidRPr="000F5113">
        <w:rPr>
          <w:rFonts w:cs="Times New Roman"/>
          <w:sz w:val="22"/>
          <w:szCs w:val="22"/>
        </w:rPr>
        <w:t xml:space="preserve">The White Paper talks of strengthening </w:t>
      </w:r>
      <w:r w:rsidRPr="000F5113">
        <w:rPr>
          <w:rFonts w:cs="Times New Roman"/>
          <w:bCs/>
          <w:sz w:val="22"/>
          <w:szCs w:val="22"/>
        </w:rPr>
        <w:t xml:space="preserve">proposals in </w:t>
      </w:r>
      <w:r w:rsidR="006868B7" w:rsidRPr="000F5113">
        <w:rPr>
          <w:rFonts w:cs="Times New Roman"/>
          <w:bCs/>
          <w:sz w:val="22"/>
          <w:szCs w:val="22"/>
        </w:rPr>
        <w:t xml:space="preserve">the </w:t>
      </w:r>
      <w:r w:rsidRPr="000F5113">
        <w:rPr>
          <w:rFonts w:cs="Times New Roman"/>
          <w:bCs/>
          <w:sz w:val="22"/>
          <w:szCs w:val="22"/>
        </w:rPr>
        <w:t xml:space="preserve">Adult Social Care Reform White Paper (December 2021) for a range of measures to </w:t>
      </w:r>
      <w:r w:rsidR="00D642D8" w:rsidRPr="000F5113">
        <w:rPr>
          <w:rFonts w:cs="Times New Roman"/>
          <w:bCs/>
          <w:sz w:val="22"/>
          <w:szCs w:val="22"/>
        </w:rPr>
        <w:t>invest in social care staff to recruit and retain them</w:t>
      </w:r>
      <w:r w:rsidR="00B65413" w:rsidRPr="000F5113">
        <w:rPr>
          <w:rFonts w:cs="Times New Roman"/>
          <w:bCs/>
          <w:color w:val="3366FF"/>
          <w:sz w:val="22"/>
          <w:szCs w:val="22"/>
        </w:rPr>
        <w:t xml:space="preserve">.  </w:t>
      </w:r>
      <w:r w:rsidR="00725369" w:rsidRPr="000F5113">
        <w:rPr>
          <w:rFonts w:cs="Times New Roman"/>
          <w:bCs/>
          <w:sz w:val="22"/>
          <w:szCs w:val="22"/>
        </w:rPr>
        <w:t>However, t</w:t>
      </w:r>
      <w:r w:rsidRPr="000F5113">
        <w:rPr>
          <w:rFonts w:cs="Times New Roman"/>
          <w:bCs/>
          <w:sz w:val="22"/>
          <w:szCs w:val="22"/>
        </w:rPr>
        <w:t>he Local Government Association recognises the difficulties of implementing the proposals: “</w:t>
      </w:r>
      <w:r w:rsidRPr="000F5113">
        <w:rPr>
          <w:rFonts w:eastAsia="Times New Roman" w:cs="Times New Roman"/>
          <w:bCs/>
          <w:sz w:val="22"/>
          <w:szCs w:val="22"/>
          <w:lang w:eastAsia="en-GB"/>
        </w:rPr>
        <w:t xml:space="preserve">Without meaningful transformation on pay, many of the ideas put forward in </w:t>
      </w:r>
      <w:r w:rsidR="00B64DED" w:rsidRPr="000F5113">
        <w:rPr>
          <w:rFonts w:eastAsia="Times New Roman" w:cs="Times New Roman"/>
          <w:bCs/>
          <w:sz w:val="22"/>
          <w:szCs w:val="22"/>
          <w:lang w:eastAsia="en-GB"/>
        </w:rPr>
        <w:t xml:space="preserve">the </w:t>
      </w:r>
      <w:r w:rsidRPr="000F5113">
        <w:rPr>
          <w:rFonts w:eastAsia="Times New Roman" w:cs="Times New Roman"/>
          <w:bCs/>
          <w:sz w:val="22"/>
          <w:szCs w:val="22"/>
          <w:lang w:eastAsia="en-GB"/>
        </w:rPr>
        <w:t>adult social care white paper (such as a Knowledge and Skills Framework to support career structure and progression) will be hard to deliver because people will have no guarantee of increased pay and reward for their increased skills and may continue to use social care as a stepping-stone to the NHS or other opportunities outside of the sector.”</w:t>
      </w:r>
      <w:r w:rsidR="00725369" w:rsidRPr="000F5113">
        <w:rPr>
          <w:rFonts w:eastAsia="Times New Roman" w:cs="Times New Roman"/>
          <w:bCs/>
          <w:sz w:val="22"/>
          <w:szCs w:val="22"/>
          <w:lang w:eastAsia="en-GB"/>
        </w:rPr>
        <w:t xml:space="preserve"> </w:t>
      </w:r>
    </w:p>
    <w:p w14:paraId="21E18E52" w14:textId="522A3F7A" w:rsidR="000B6921" w:rsidRPr="000F5113" w:rsidRDefault="000B6921" w:rsidP="000B6921">
      <w:pPr>
        <w:rPr>
          <w:rFonts w:cs="Times New Roman"/>
          <w:sz w:val="22"/>
          <w:szCs w:val="22"/>
        </w:rPr>
      </w:pPr>
      <w:r w:rsidRPr="000F5113">
        <w:rPr>
          <w:rFonts w:eastAsia="Times New Roman" w:cs="Times New Roman"/>
          <w:bCs/>
          <w:sz w:val="22"/>
          <w:szCs w:val="22"/>
          <w:lang w:eastAsia="en-GB"/>
        </w:rPr>
        <w:t>The</w:t>
      </w:r>
      <w:r w:rsidR="00455410" w:rsidRPr="000F5113">
        <w:rPr>
          <w:rFonts w:eastAsia="Times New Roman" w:cs="Times New Roman"/>
          <w:bCs/>
          <w:sz w:val="22"/>
          <w:szCs w:val="22"/>
          <w:lang w:eastAsia="en-GB"/>
        </w:rPr>
        <w:t xml:space="preserve">re is talk that </w:t>
      </w:r>
      <w:r w:rsidRPr="000F5113">
        <w:rPr>
          <w:rFonts w:eastAsia="Times New Roman" w:cs="Times New Roman"/>
          <w:bCs/>
          <w:sz w:val="22"/>
          <w:szCs w:val="22"/>
          <w:lang w:eastAsia="en-GB"/>
        </w:rPr>
        <w:t xml:space="preserve">funding will be increased but </w:t>
      </w:r>
      <w:r w:rsidR="00455410" w:rsidRPr="000F5113">
        <w:rPr>
          <w:rFonts w:eastAsia="Times New Roman" w:cs="Times New Roman"/>
          <w:bCs/>
          <w:sz w:val="22"/>
          <w:szCs w:val="22"/>
          <w:lang w:eastAsia="en-GB"/>
        </w:rPr>
        <w:t xml:space="preserve">the White Paper </w:t>
      </w:r>
      <w:r w:rsidRPr="000F5113">
        <w:rPr>
          <w:rFonts w:eastAsia="Times New Roman" w:cs="Times New Roman"/>
          <w:bCs/>
          <w:sz w:val="22"/>
          <w:szCs w:val="22"/>
          <w:lang w:eastAsia="en-GB"/>
        </w:rPr>
        <w:t>gives no figures</w:t>
      </w:r>
      <w:r w:rsidR="00725369" w:rsidRPr="000F5113">
        <w:rPr>
          <w:rFonts w:eastAsia="Times New Roman" w:cs="Times New Roman"/>
          <w:bCs/>
          <w:sz w:val="22"/>
          <w:szCs w:val="22"/>
          <w:lang w:eastAsia="en-GB"/>
        </w:rPr>
        <w:t xml:space="preserve">, only saying </w:t>
      </w:r>
      <w:r w:rsidRPr="000F5113">
        <w:rPr>
          <w:rFonts w:cs="Times New Roman"/>
          <w:sz w:val="22"/>
          <w:szCs w:val="22"/>
        </w:rPr>
        <w:t xml:space="preserve">“We will provide funding to support local authorities to prepare their local </w:t>
      </w:r>
      <w:r w:rsidRPr="000F5113">
        <w:rPr>
          <w:rFonts w:cs="Times New Roman"/>
          <w:sz w:val="22"/>
          <w:szCs w:val="22"/>
        </w:rPr>
        <w:lastRenderedPageBreak/>
        <w:t>markets for reform, including by moving towards paying providers a fair rate for care that reflects local costs, including workforce, where appropriate.”</w:t>
      </w:r>
    </w:p>
    <w:p w14:paraId="1CB22625" w14:textId="3FE99814" w:rsidR="00FB4627" w:rsidRPr="000F5113" w:rsidRDefault="00FB4627" w:rsidP="005E0A21">
      <w:pPr>
        <w:rPr>
          <w:rFonts w:cs="Times New Roman"/>
          <w:sz w:val="22"/>
          <w:szCs w:val="22"/>
        </w:rPr>
      </w:pPr>
    </w:p>
    <w:p w14:paraId="6F7CA847" w14:textId="5DC0CD2F" w:rsidR="007D5480" w:rsidRPr="000F5113" w:rsidRDefault="0080086E" w:rsidP="000E2AC7">
      <w:pPr>
        <w:rPr>
          <w:rFonts w:cs="Times New Roman"/>
          <w:b/>
          <w:sz w:val="22"/>
          <w:szCs w:val="22"/>
        </w:rPr>
      </w:pPr>
      <w:r w:rsidRPr="000F5113">
        <w:rPr>
          <w:rFonts w:cs="Times New Roman"/>
          <w:b/>
          <w:sz w:val="22"/>
          <w:szCs w:val="22"/>
        </w:rPr>
        <w:t>3.4.3</w:t>
      </w:r>
      <w:r w:rsidR="007E039D" w:rsidRPr="000F5113">
        <w:rPr>
          <w:rFonts w:cs="Times New Roman"/>
          <w:b/>
          <w:sz w:val="22"/>
          <w:szCs w:val="22"/>
        </w:rPr>
        <w:t xml:space="preserve"> </w:t>
      </w:r>
      <w:r w:rsidR="007E11E7" w:rsidRPr="000F5113">
        <w:rPr>
          <w:rFonts w:cs="Times New Roman"/>
          <w:b/>
          <w:sz w:val="22"/>
          <w:szCs w:val="22"/>
        </w:rPr>
        <w:t xml:space="preserve">What prevents flexible deployment of health and social care </w:t>
      </w:r>
      <w:r w:rsidR="005812B6" w:rsidRPr="000F5113">
        <w:rPr>
          <w:rFonts w:cs="Times New Roman"/>
          <w:b/>
          <w:sz w:val="22"/>
          <w:szCs w:val="22"/>
        </w:rPr>
        <w:t>staff?</w:t>
      </w:r>
      <w:r w:rsidR="000E2AC7" w:rsidRPr="000F5113">
        <w:rPr>
          <w:rFonts w:cs="Times New Roman"/>
          <w:b/>
          <w:sz w:val="22"/>
          <w:szCs w:val="22"/>
        </w:rPr>
        <w:t xml:space="preserve"> </w:t>
      </w:r>
    </w:p>
    <w:p w14:paraId="01AED807" w14:textId="17265A58" w:rsidR="00051D3F" w:rsidRPr="000F5113" w:rsidRDefault="0048050B" w:rsidP="00051D3F">
      <w:pPr>
        <w:rPr>
          <w:rFonts w:cs="Times New Roman"/>
          <w:strike/>
          <w:color w:val="3366FF"/>
          <w:sz w:val="22"/>
          <w:szCs w:val="22"/>
          <w:vertAlign w:val="subscript"/>
        </w:rPr>
      </w:pPr>
      <w:r w:rsidRPr="000F5113">
        <w:rPr>
          <w:rFonts w:cs="Times New Roman"/>
          <w:bCs/>
          <w:sz w:val="22"/>
          <w:szCs w:val="22"/>
        </w:rPr>
        <w:t xml:space="preserve">The White Paper talks about removing </w:t>
      </w:r>
      <w:r w:rsidR="00051D3F" w:rsidRPr="000F5113">
        <w:rPr>
          <w:rFonts w:cs="Times New Roman"/>
          <w:bCs/>
          <w:sz w:val="22"/>
          <w:szCs w:val="22"/>
        </w:rPr>
        <w:t xml:space="preserve">barriers to collaboration (learning from covid) and </w:t>
      </w:r>
      <w:r w:rsidR="00700A1D" w:rsidRPr="000F5113">
        <w:rPr>
          <w:rFonts w:cs="Times New Roman"/>
          <w:bCs/>
          <w:sz w:val="22"/>
          <w:szCs w:val="22"/>
        </w:rPr>
        <w:t xml:space="preserve">developing a </w:t>
      </w:r>
      <w:r w:rsidR="00051D3F" w:rsidRPr="000F5113">
        <w:rPr>
          <w:rFonts w:cs="Times New Roman"/>
          <w:bCs/>
          <w:sz w:val="22"/>
          <w:szCs w:val="22"/>
        </w:rPr>
        <w:t xml:space="preserve">workforce equipped to work across sectors. </w:t>
      </w:r>
      <w:r w:rsidR="00700A1D" w:rsidRPr="000F5113">
        <w:rPr>
          <w:rFonts w:cs="Times New Roman"/>
          <w:bCs/>
          <w:sz w:val="22"/>
          <w:szCs w:val="22"/>
        </w:rPr>
        <w:t xml:space="preserve"> </w:t>
      </w:r>
    </w:p>
    <w:p w14:paraId="0F8879A1" w14:textId="77777777" w:rsidR="00051D3F" w:rsidRPr="000F5113" w:rsidRDefault="00051D3F" w:rsidP="000E2AC7">
      <w:pPr>
        <w:rPr>
          <w:rFonts w:cs="Times New Roman"/>
          <w:b/>
          <w:sz w:val="22"/>
          <w:szCs w:val="22"/>
        </w:rPr>
      </w:pPr>
    </w:p>
    <w:p w14:paraId="4D97CAAE" w14:textId="7AA6A4E3" w:rsidR="000E2AC7" w:rsidRPr="000F5113" w:rsidRDefault="00CA0ADF" w:rsidP="000E2AC7">
      <w:pPr>
        <w:rPr>
          <w:rFonts w:cs="Times New Roman"/>
          <w:color w:val="FF0000"/>
          <w:sz w:val="22"/>
          <w:szCs w:val="22"/>
        </w:rPr>
      </w:pPr>
      <w:r w:rsidRPr="000F5113">
        <w:rPr>
          <w:rFonts w:cs="Times New Roman"/>
          <w:sz w:val="22"/>
          <w:szCs w:val="22"/>
        </w:rPr>
        <w:t xml:space="preserve">It does not specify what the </w:t>
      </w:r>
      <w:r w:rsidR="001D36AD" w:rsidRPr="000F5113">
        <w:rPr>
          <w:rFonts w:cs="Times New Roman"/>
          <w:sz w:val="22"/>
          <w:szCs w:val="22"/>
        </w:rPr>
        <w:t xml:space="preserve">barriers to people moving across organisational boundaries </w:t>
      </w:r>
      <w:r w:rsidRPr="000F5113">
        <w:rPr>
          <w:rFonts w:cs="Times New Roman"/>
          <w:sz w:val="22"/>
          <w:szCs w:val="22"/>
        </w:rPr>
        <w:t xml:space="preserve">are, except: </w:t>
      </w:r>
      <w:r w:rsidR="007D669D" w:rsidRPr="000F5113">
        <w:rPr>
          <w:rFonts w:cs="Times New Roman"/>
          <w:sz w:val="22"/>
          <w:szCs w:val="22"/>
        </w:rPr>
        <w:t xml:space="preserve">“This is, in part, driven by a lack of cross-sector experience built into training; disparities in career progression, with adult social care in particular viewed as lacking opportunities compared to the NHS, and regulatory barriers.”  </w:t>
      </w:r>
    </w:p>
    <w:p w14:paraId="430DE5EE" w14:textId="77777777" w:rsidR="0030406B" w:rsidRPr="000F5113" w:rsidRDefault="0030406B" w:rsidP="000E2AC7">
      <w:pPr>
        <w:rPr>
          <w:rFonts w:cs="Times New Roman"/>
          <w:color w:val="FF0000"/>
          <w:sz w:val="22"/>
          <w:szCs w:val="22"/>
        </w:rPr>
      </w:pPr>
    </w:p>
    <w:p w14:paraId="69891FF8" w14:textId="1001B1E5" w:rsidR="0009188E" w:rsidRPr="000F5113" w:rsidRDefault="006F6A02" w:rsidP="0009188E">
      <w:pPr>
        <w:rPr>
          <w:rFonts w:cs="Times New Roman"/>
          <w:sz w:val="22"/>
          <w:szCs w:val="22"/>
        </w:rPr>
      </w:pPr>
      <w:r w:rsidRPr="000F5113">
        <w:rPr>
          <w:rFonts w:cs="Times New Roman"/>
          <w:sz w:val="22"/>
          <w:szCs w:val="22"/>
        </w:rPr>
        <w:t>In other words the aim is to</w:t>
      </w:r>
      <w:r w:rsidR="00764984" w:rsidRPr="000F5113">
        <w:rPr>
          <w:rFonts w:cs="Times New Roman"/>
          <w:sz w:val="22"/>
          <w:szCs w:val="22"/>
        </w:rPr>
        <w:t xml:space="preserve"> </w:t>
      </w:r>
      <w:r w:rsidR="00C66B2C" w:rsidRPr="000F5113">
        <w:rPr>
          <w:rFonts w:cs="Times New Roman"/>
          <w:sz w:val="22"/>
          <w:szCs w:val="22"/>
        </w:rPr>
        <w:t xml:space="preserve">“…encourage movement of staff within and between sectors, to help build knowledge, relationships, and experience of different settings.” </w:t>
      </w:r>
      <w:r w:rsidR="00217EC7" w:rsidRPr="000F5113">
        <w:rPr>
          <w:rFonts w:cs="Times New Roman"/>
          <w:sz w:val="22"/>
          <w:szCs w:val="22"/>
        </w:rPr>
        <w:t>(again</w:t>
      </w:r>
      <w:r w:rsidR="00764984" w:rsidRPr="000F5113">
        <w:rPr>
          <w:rFonts w:cs="Times New Roman"/>
          <w:sz w:val="22"/>
          <w:szCs w:val="22"/>
        </w:rPr>
        <w:t>,</w:t>
      </w:r>
      <w:r w:rsidR="00217EC7" w:rsidRPr="000F5113">
        <w:rPr>
          <w:rFonts w:cs="Times New Roman"/>
          <w:sz w:val="22"/>
          <w:szCs w:val="22"/>
        </w:rPr>
        <w:t xml:space="preserve"> one workforce)</w:t>
      </w:r>
      <w:r w:rsidR="0059655B" w:rsidRPr="000F5113">
        <w:rPr>
          <w:rFonts w:cs="Times New Roman"/>
          <w:sz w:val="22"/>
          <w:szCs w:val="22"/>
        </w:rPr>
        <w:t xml:space="preserve">.  The White Paper does not address the </w:t>
      </w:r>
      <w:r w:rsidR="0009188E" w:rsidRPr="000F5113">
        <w:rPr>
          <w:rFonts w:cs="Times New Roman"/>
          <w:sz w:val="22"/>
          <w:szCs w:val="22"/>
        </w:rPr>
        <w:t xml:space="preserve">fact that </w:t>
      </w:r>
      <w:r w:rsidR="0059655B" w:rsidRPr="000F5113">
        <w:rPr>
          <w:rFonts w:cs="Times New Roman"/>
          <w:sz w:val="22"/>
          <w:szCs w:val="22"/>
        </w:rPr>
        <w:t>staff</w:t>
      </w:r>
      <w:r w:rsidR="0009188E" w:rsidRPr="000F5113">
        <w:rPr>
          <w:rFonts w:cs="Times New Roman"/>
          <w:sz w:val="22"/>
          <w:szCs w:val="22"/>
        </w:rPr>
        <w:t xml:space="preserve"> are </w:t>
      </w:r>
      <w:r w:rsidR="0059655B" w:rsidRPr="000F5113">
        <w:rPr>
          <w:rFonts w:cs="Times New Roman"/>
          <w:sz w:val="22"/>
          <w:szCs w:val="22"/>
        </w:rPr>
        <w:t xml:space="preserve">employed by </w:t>
      </w:r>
      <w:r w:rsidR="0009188E" w:rsidRPr="000F5113">
        <w:rPr>
          <w:rFonts w:cs="Times New Roman"/>
          <w:sz w:val="22"/>
          <w:szCs w:val="22"/>
        </w:rPr>
        <w:t>different employers</w:t>
      </w:r>
      <w:r w:rsidR="007D5480" w:rsidRPr="000F5113">
        <w:rPr>
          <w:rFonts w:cs="Times New Roman"/>
          <w:sz w:val="22"/>
          <w:szCs w:val="22"/>
        </w:rPr>
        <w:t xml:space="preserve"> with different terms and conditions</w:t>
      </w:r>
      <w:r w:rsidR="0012059F" w:rsidRPr="000F5113">
        <w:rPr>
          <w:rFonts w:cs="Times New Roman"/>
          <w:sz w:val="22"/>
          <w:szCs w:val="22"/>
        </w:rPr>
        <w:t>.</w:t>
      </w:r>
      <w:r w:rsidRPr="000F5113">
        <w:rPr>
          <w:rFonts w:cs="Times New Roman"/>
          <w:sz w:val="22"/>
          <w:szCs w:val="22"/>
        </w:rPr>
        <w:t xml:space="preserve"> However, it promises a review </w:t>
      </w:r>
      <w:r w:rsidR="001B38C0" w:rsidRPr="000F5113">
        <w:rPr>
          <w:rFonts w:cs="Times New Roman"/>
          <w:sz w:val="22"/>
          <w:szCs w:val="22"/>
        </w:rPr>
        <w:t xml:space="preserve">of </w:t>
      </w:r>
      <w:r w:rsidRPr="000F5113">
        <w:rPr>
          <w:rFonts w:cs="Times New Roman"/>
          <w:sz w:val="22"/>
          <w:szCs w:val="22"/>
        </w:rPr>
        <w:t>regulatory and statutory requirements that “prevent the flexible deployment of health and social care staff across sectors.”</w:t>
      </w:r>
    </w:p>
    <w:p w14:paraId="08ACD58C" w14:textId="77777777" w:rsidR="0009188E" w:rsidRPr="000F5113" w:rsidRDefault="0009188E" w:rsidP="00C66B2C">
      <w:pPr>
        <w:rPr>
          <w:rFonts w:cs="Times New Roman"/>
          <w:sz w:val="22"/>
          <w:szCs w:val="22"/>
        </w:rPr>
      </w:pPr>
    </w:p>
    <w:p w14:paraId="0923F625" w14:textId="4777C99B" w:rsidR="001C64C5" w:rsidRPr="000F5113" w:rsidRDefault="001C64C5" w:rsidP="001C64C5">
      <w:pPr>
        <w:shd w:val="clear" w:color="auto" w:fill="FFFFFF"/>
        <w:rPr>
          <w:rFonts w:eastAsia="Times New Roman" w:cs="Times New Roman"/>
          <w:sz w:val="22"/>
          <w:szCs w:val="22"/>
          <w:lang w:eastAsia="en-GB"/>
        </w:rPr>
      </w:pPr>
      <w:r w:rsidRPr="000F5113">
        <w:rPr>
          <w:rFonts w:cs="Times New Roman"/>
          <w:sz w:val="22"/>
          <w:szCs w:val="22"/>
        </w:rPr>
        <w:t>The Local Government Association welcomes this</w:t>
      </w:r>
      <w:r w:rsidR="000B6921" w:rsidRPr="000F5113">
        <w:rPr>
          <w:rFonts w:cs="Times New Roman"/>
          <w:sz w:val="22"/>
          <w:szCs w:val="22"/>
        </w:rPr>
        <w:t xml:space="preserve"> </w:t>
      </w:r>
      <w:r w:rsidR="00777119" w:rsidRPr="000F5113">
        <w:rPr>
          <w:rFonts w:cs="Times New Roman"/>
          <w:sz w:val="22"/>
          <w:szCs w:val="22"/>
        </w:rPr>
        <w:t>“</w:t>
      </w:r>
      <w:r w:rsidR="006F6A02" w:rsidRPr="000F5113">
        <w:rPr>
          <w:rFonts w:cs="Times New Roman"/>
          <w:sz w:val="22"/>
          <w:szCs w:val="22"/>
        </w:rPr>
        <w:t xml:space="preserve">interesting and important” </w:t>
      </w:r>
      <w:r w:rsidRPr="000F5113">
        <w:rPr>
          <w:rFonts w:eastAsia="Times New Roman" w:cs="Times New Roman"/>
          <w:sz w:val="22"/>
          <w:szCs w:val="22"/>
          <w:lang w:eastAsia="en-GB"/>
        </w:rPr>
        <w:t>proposal</w:t>
      </w:r>
      <w:r w:rsidR="000B6921" w:rsidRPr="000F5113">
        <w:rPr>
          <w:rFonts w:eastAsia="Times New Roman" w:cs="Times New Roman"/>
          <w:sz w:val="22"/>
          <w:szCs w:val="22"/>
          <w:lang w:eastAsia="en-GB"/>
        </w:rPr>
        <w:t>:</w:t>
      </w:r>
      <w:r w:rsidRPr="000F5113">
        <w:rPr>
          <w:rFonts w:eastAsia="Times New Roman" w:cs="Times New Roman"/>
          <w:sz w:val="22"/>
          <w:szCs w:val="22"/>
          <w:lang w:eastAsia="en-GB"/>
        </w:rPr>
        <w:t xml:space="preserve"> </w:t>
      </w:r>
      <w:r w:rsidR="006F6A02" w:rsidRPr="000F5113">
        <w:rPr>
          <w:rFonts w:eastAsia="Times New Roman" w:cs="Times New Roman"/>
          <w:sz w:val="22"/>
          <w:szCs w:val="22"/>
          <w:lang w:eastAsia="en-GB"/>
        </w:rPr>
        <w:t>“</w:t>
      </w:r>
      <w:r w:rsidRPr="000F5113">
        <w:rPr>
          <w:rFonts w:eastAsia="Times New Roman" w:cs="Times New Roman"/>
          <w:sz w:val="22"/>
          <w:szCs w:val="22"/>
          <w:lang w:eastAsia="en-GB"/>
        </w:rPr>
        <w:t>The LGA has long advocated such changes to ensure public health staff can move between NHS and Local Government without losing aspects of continuity of service and this and other changes will be important for widescale workforce integration.”</w:t>
      </w:r>
    </w:p>
    <w:p w14:paraId="43A69174" w14:textId="77777777" w:rsidR="001C64C5" w:rsidRPr="000F5113" w:rsidRDefault="001C64C5" w:rsidP="001C64C5">
      <w:pPr>
        <w:rPr>
          <w:rFonts w:cs="Times New Roman"/>
          <w:b/>
          <w:sz w:val="22"/>
          <w:szCs w:val="22"/>
        </w:rPr>
      </w:pPr>
    </w:p>
    <w:p w14:paraId="44921CE9" w14:textId="335E5A1A" w:rsidR="00707EEE" w:rsidRPr="000F5113" w:rsidRDefault="0080086E" w:rsidP="00707EEE">
      <w:pPr>
        <w:rPr>
          <w:rFonts w:cs="Times New Roman"/>
          <w:b/>
          <w:sz w:val="22"/>
          <w:szCs w:val="22"/>
        </w:rPr>
      </w:pPr>
      <w:r w:rsidRPr="000F5113">
        <w:rPr>
          <w:rFonts w:cs="Times New Roman"/>
          <w:b/>
          <w:sz w:val="22"/>
          <w:szCs w:val="22"/>
        </w:rPr>
        <w:t>3.4.4</w:t>
      </w:r>
      <w:r w:rsidR="007E039D" w:rsidRPr="000F5113">
        <w:rPr>
          <w:rFonts w:cs="Times New Roman"/>
          <w:b/>
          <w:sz w:val="22"/>
          <w:szCs w:val="22"/>
        </w:rPr>
        <w:t xml:space="preserve"> </w:t>
      </w:r>
      <w:r w:rsidR="00707EEE" w:rsidRPr="000F5113">
        <w:rPr>
          <w:rFonts w:cs="Times New Roman"/>
          <w:b/>
          <w:sz w:val="22"/>
          <w:szCs w:val="22"/>
        </w:rPr>
        <w:t>Integrated skills passport – transfer skills and knowledge</w:t>
      </w:r>
    </w:p>
    <w:p w14:paraId="52964503" w14:textId="595EF5C4" w:rsidR="00707EEE" w:rsidRPr="000F5113" w:rsidRDefault="00707EEE" w:rsidP="00707EEE">
      <w:pPr>
        <w:shd w:val="clear" w:color="auto" w:fill="FFFFFF"/>
        <w:rPr>
          <w:rFonts w:eastAsia="Times New Roman" w:cs="Times New Roman"/>
          <w:bCs/>
          <w:sz w:val="22"/>
          <w:szCs w:val="22"/>
          <w:lang w:eastAsia="en-GB"/>
        </w:rPr>
      </w:pPr>
      <w:r w:rsidRPr="000F5113">
        <w:rPr>
          <w:rFonts w:cs="Times New Roman"/>
          <w:bCs/>
          <w:sz w:val="22"/>
          <w:szCs w:val="22"/>
        </w:rPr>
        <w:t xml:space="preserve">The Local Government Association urges further detailed discussion and consultation with employers on the idea of the skills passport and how it would link to the knowledge and skills framework, </w:t>
      </w:r>
      <w:r w:rsidR="00CF2128" w:rsidRPr="000F5113">
        <w:rPr>
          <w:rFonts w:cs="Times New Roman"/>
          <w:bCs/>
          <w:sz w:val="22"/>
          <w:szCs w:val="22"/>
        </w:rPr>
        <w:t>but argues that</w:t>
      </w:r>
      <w:r w:rsidR="00CF2128" w:rsidRPr="000F5113">
        <w:rPr>
          <w:rFonts w:cs="Times New Roman"/>
          <w:bCs/>
          <w:color w:val="3366FF"/>
          <w:sz w:val="22"/>
          <w:szCs w:val="22"/>
        </w:rPr>
        <w:t xml:space="preserve"> </w:t>
      </w:r>
      <w:r w:rsidRPr="000F5113">
        <w:rPr>
          <w:rFonts w:cs="Times New Roman"/>
          <w:bCs/>
          <w:sz w:val="22"/>
          <w:szCs w:val="22"/>
        </w:rPr>
        <w:t>“</w:t>
      </w:r>
      <w:r w:rsidRPr="000F5113">
        <w:rPr>
          <w:rFonts w:eastAsia="Times New Roman" w:cs="Times New Roman"/>
          <w:bCs/>
          <w:sz w:val="22"/>
          <w:szCs w:val="22"/>
          <w:lang w:eastAsia="en-GB"/>
        </w:rPr>
        <w:t>Without significant action on recruitment, retention, wellbeing and coordinated planning, the ambitions in this white paper will not be able to succeed.”</w:t>
      </w:r>
    </w:p>
    <w:p w14:paraId="04F4F61B" w14:textId="77777777" w:rsidR="00707EEE" w:rsidRPr="000F5113" w:rsidRDefault="00707EEE" w:rsidP="00C66B2C">
      <w:pPr>
        <w:rPr>
          <w:rFonts w:cs="Times New Roman"/>
          <w:sz w:val="22"/>
          <w:szCs w:val="22"/>
        </w:rPr>
      </w:pPr>
    </w:p>
    <w:p w14:paraId="255FBEB2" w14:textId="1065021D" w:rsidR="00CF2128" w:rsidRPr="000F5113" w:rsidRDefault="00D82083" w:rsidP="00BA6730">
      <w:pPr>
        <w:rPr>
          <w:rFonts w:cs="Times New Roman"/>
          <w:sz w:val="22"/>
          <w:szCs w:val="22"/>
        </w:rPr>
      </w:pPr>
      <w:r w:rsidRPr="000F5113">
        <w:rPr>
          <w:rFonts w:cs="Times New Roman"/>
          <w:sz w:val="22"/>
          <w:szCs w:val="22"/>
        </w:rPr>
        <w:t xml:space="preserve">NHS Providers </w:t>
      </w:r>
      <w:r w:rsidR="0012059F" w:rsidRPr="000F5113">
        <w:rPr>
          <w:rFonts w:cs="Times New Roman"/>
          <w:sz w:val="22"/>
          <w:szCs w:val="22"/>
        </w:rPr>
        <w:t xml:space="preserve">also </w:t>
      </w:r>
      <w:r w:rsidRPr="000F5113">
        <w:rPr>
          <w:rFonts w:cs="Times New Roman"/>
          <w:sz w:val="22"/>
          <w:szCs w:val="22"/>
        </w:rPr>
        <w:t>welcome the idea of ‘passporting’</w:t>
      </w:r>
      <w:r w:rsidR="0012059F" w:rsidRPr="000F5113">
        <w:rPr>
          <w:rFonts w:cs="Times New Roman"/>
          <w:sz w:val="22"/>
          <w:szCs w:val="22"/>
        </w:rPr>
        <w:t xml:space="preserve"> but </w:t>
      </w:r>
      <w:r w:rsidR="00180B20" w:rsidRPr="000F5113">
        <w:rPr>
          <w:rFonts w:cs="Times New Roman"/>
          <w:sz w:val="22"/>
          <w:szCs w:val="22"/>
        </w:rPr>
        <w:t>see difficulties</w:t>
      </w:r>
      <w:r w:rsidR="00BA6730" w:rsidRPr="000F5113">
        <w:rPr>
          <w:rFonts w:cs="Times New Roman"/>
          <w:sz w:val="22"/>
          <w:szCs w:val="22"/>
        </w:rPr>
        <w:t>: “There is a welcome emphasis on the potential of passporting, but no recognition of – or solutions to address – the practical, legal and contractual challenges that act as barriers to implementation.”</w:t>
      </w:r>
      <w:r w:rsidR="00CF2128" w:rsidRPr="000F5113">
        <w:rPr>
          <w:rFonts w:cs="Times New Roman"/>
          <w:sz w:val="22"/>
          <w:szCs w:val="22"/>
        </w:rPr>
        <w:t xml:space="preserve"> In addition, they say</w:t>
      </w:r>
    </w:p>
    <w:p w14:paraId="7B644E70" w14:textId="0E0EC950" w:rsidR="00BA6730" w:rsidRPr="000F5113" w:rsidRDefault="00B41070" w:rsidP="00CF2128">
      <w:pPr>
        <w:ind w:left="720"/>
        <w:rPr>
          <w:rFonts w:cs="Times New Roman"/>
          <w:sz w:val="22"/>
          <w:szCs w:val="22"/>
        </w:rPr>
      </w:pPr>
      <w:r w:rsidRPr="000F5113">
        <w:rPr>
          <w:rFonts w:cs="Times New Roman"/>
          <w:sz w:val="22"/>
          <w:szCs w:val="22"/>
        </w:rPr>
        <w:t xml:space="preserve"> “</w:t>
      </w:r>
      <w:r w:rsidR="00BA6730" w:rsidRPr="000F5113">
        <w:rPr>
          <w:rFonts w:cs="Times New Roman"/>
          <w:sz w:val="22"/>
          <w:szCs w:val="22"/>
        </w:rPr>
        <w:t xml:space="preserve">One of the challenges will be the disparity in pay levels and conditions of employment between staff from the two sectors. </w:t>
      </w:r>
      <w:r w:rsidR="00BA6730" w:rsidRPr="000F5113">
        <w:rPr>
          <w:rFonts w:cs="Times New Roman"/>
          <w:bCs/>
          <w:sz w:val="22"/>
          <w:szCs w:val="22"/>
        </w:rPr>
        <w:t>It remains unclear how ICBs and/or place-based partnerships will adopt workforce planning responsibilities when the levers, and information to do so, sits outside of their control (e.g. medical and nursing training places) and in the absence of the data, tools and support to do this.</w:t>
      </w:r>
      <w:r w:rsidRPr="000F5113">
        <w:rPr>
          <w:rFonts w:cs="Times New Roman"/>
          <w:bCs/>
          <w:sz w:val="22"/>
          <w:szCs w:val="22"/>
        </w:rPr>
        <w:t>”</w:t>
      </w:r>
      <w:r w:rsidR="00BA6730" w:rsidRPr="000F5113">
        <w:rPr>
          <w:rFonts w:cs="Times New Roman"/>
          <w:bCs/>
          <w:sz w:val="22"/>
          <w:szCs w:val="22"/>
        </w:rPr>
        <w:t xml:space="preserve"> </w:t>
      </w:r>
    </w:p>
    <w:p w14:paraId="00D2335F" w14:textId="53476574" w:rsidR="0057350D" w:rsidRPr="000F5113" w:rsidRDefault="0057350D">
      <w:pPr>
        <w:rPr>
          <w:rFonts w:cs="Times New Roman"/>
          <w:b/>
          <w:sz w:val="22"/>
          <w:szCs w:val="22"/>
        </w:rPr>
      </w:pPr>
    </w:p>
    <w:p w14:paraId="641EED78" w14:textId="4BD31019" w:rsidR="000E722E" w:rsidRPr="000F5113" w:rsidRDefault="0080086E">
      <w:pPr>
        <w:rPr>
          <w:rFonts w:cs="Times New Roman"/>
          <w:b/>
          <w:sz w:val="22"/>
          <w:szCs w:val="22"/>
        </w:rPr>
      </w:pPr>
      <w:r w:rsidRPr="000F5113">
        <w:rPr>
          <w:rFonts w:cs="Times New Roman"/>
          <w:b/>
          <w:sz w:val="22"/>
          <w:szCs w:val="22"/>
        </w:rPr>
        <w:t>3.4.</w:t>
      </w:r>
      <w:r w:rsidR="00FC5936" w:rsidRPr="000F5113">
        <w:rPr>
          <w:rFonts w:cs="Times New Roman"/>
          <w:b/>
          <w:sz w:val="22"/>
          <w:szCs w:val="22"/>
        </w:rPr>
        <w:t>5</w:t>
      </w:r>
      <w:r w:rsidR="007E039D" w:rsidRPr="000F5113">
        <w:rPr>
          <w:rFonts w:cs="Times New Roman"/>
          <w:b/>
          <w:sz w:val="22"/>
          <w:szCs w:val="22"/>
        </w:rPr>
        <w:t xml:space="preserve"> </w:t>
      </w:r>
      <w:r w:rsidR="00E579CB" w:rsidRPr="000F5113">
        <w:rPr>
          <w:rFonts w:cs="Times New Roman"/>
          <w:b/>
          <w:sz w:val="22"/>
          <w:szCs w:val="22"/>
        </w:rPr>
        <w:t xml:space="preserve">Increasing </w:t>
      </w:r>
      <w:r w:rsidR="00170A05" w:rsidRPr="000F5113">
        <w:rPr>
          <w:rFonts w:cs="Times New Roman"/>
          <w:b/>
          <w:sz w:val="22"/>
          <w:szCs w:val="22"/>
        </w:rPr>
        <w:t xml:space="preserve">appropriate </w:t>
      </w:r>
      <w:r w:rsidR="00E579CB" w:rsidRPr="000F5113">
        <w:rPr>
          <w:rFonts w:cs="Times New Roman"/>
          <w:b/>
          <w:sz w:val="22"/>
          <w:szCs w:val="22"/>
        </w:rPr>
        <w:t>clinical interventions that social care staff can do</w:t>
      </w:r>
      <w:r w:rsidR="00340986" w:rsidRPr="000F5113">
        <w:rPr>
          <w:rFonts w:cs="Times New Roman"/>
          <w:b/>
          <w:sz w:val="22"/>
          <w:szCs w:val="22"/>
        </w:rPr>
        <w:t xml:space="preserve"> </w:t>
      </w:r>
    </w:p>
    <w:p w14:paraId="5BD8A033" w14:textId="2C1247B4" w:rsidR="00DA6350" w:rsidRPr="000F5113" w:rsidRDefault="000E722E">
      <w:pPr>
        <w:rPr>
          <w:rFonts w:cs="Times New Roman"/>
          <w:strike/>
          <w:color w:val="FF0000"/>
          <w:sz w:val="22"/>
          <w:szCs w:val="22"/>
        </w:rPr>
      </w:pPr>
      <w:r w:rsidRPr="000F5113">
        <w:rPr>
          <w:rFonts w:cs="Times New Roman"/>
          <w:bCs/>
          <w:sz w:val="22"/>
          <w:szCs w:val="22"/>
        </w:rPr>
        <w:t>The White Paper wants to</w:t>
      </w:r>
      <w:r w:rsidRPr="000F5113">
        <w:rPr>
          <w:rFonts w:cs="Times New Roman"/>
          <w:b/>
          <w:sz w:val="22"/>
          <w:szCs w:val="22"/>
        </w:rPr>
        <w:t xml:space="preserve"> </w:t>
      </w:r>
      <w:r w:rsidR="00340986" w:rsidRPr="000F5113">
        <w:rPr>
          <w:rFonts w:cs="Times New Roman"/>
          <w:b/>
          <w:sz w:val="22"/>
          <w:szCs w:val="22"/>
        </w:rPr>
        <w:t>“</w:t>
      </w:r>
      <w:r w:rsidR="00340986" w:rsidRPr="000F5113">
        <w:rPr>
          <w:rFonts w:cs="Times New Roman"/>
          <w:sz w:val="22"/>
          <w:szCs w:val="22"/>
        </w:rPr>
        <w:t>explore appropriate interventions that can be safely delegated or transferred between the sectors”</w:t>
      </w:r>
      <w:r w:rsidRPr="000F5113">
        <w:rPr>
          <w:rFonts w:cs="Times New Roman"/>
          <w:sz w:val="22"/>
          <w:szCs w:val="22"/>
        </w:rPr>
        <w:t>.  It does not give examples of what</w:t>
      </w:r>
      <w:r w:rsidR="00C55EB2" w:rsidRPr="000F5113">
        <w:rPr>
          <w:rFonts w:cs="Times New Roman"/>
          <w:sz w:val="22"/>
          <w:szCs w:val="22"/>
        </w:rPr>
        <w:t xml:space="preserve"> this might mean. </w:t>
      </w:r>
      <w:r w:rsidR="00CF2128" w:rsidRPr="000F5113">
        <w:rPr>
          <w:rFonts w:cs="Times New Roman"/>
          <w:color w:val="FF0000"/>
          <w:sz w:val="22"/>
          <w:szCs w:val="22"/>
        </w:rPr>
        <w:t xml:space="preserve"> </w:t>
      </w:r>
      <w:r w:rsidR="00DA6350" w:rsidRPr="000F5113">
        <w:rPr>
          <w:rFonts w:cs="Times New Roman"/>
          <w:sz w:val="22"/>
          <w:szCs w:val="22"/>
        </w:rPr>
        <w:t>While the Local Government Association sees that “</w:t>
      </w:r>
      <w:r w:rsidR="00DA6350" w:rsidRPr="000F5113">
        <w:rPr>
          <w:rFonts w:eastAsia="Times New Roman" w:cs="Times New Roman"/>
          <w:sz w:val="22"/>
          <w:szCs w:val="22"/>
          <w:lang w:eastAsia="en-GB"/>
        </w:rPr>
        <w:t>The delegation of further clinical activities to care workers</w:t>
      </w:r>
      <w:r w:rsidR="00DA6350" w:rsidRPr="000F5113">
        <w:rPr>
          <w:rFonts w:eastAsia="Times New Roman" w:cs="Times New Roman"/>
          <w:i/>
          <w:iCs/>
          <w:sz w:val="22"/>
          <w:szCs w:val="22"/>
          <w:lang w:eastAsia="en-GB"/>
        </w:rPr>
        <w:t xml:space="preserve"> </w:t>
      </w:r>
      <w:r w:rsidR="00DA6350" w:rsidRPr="000F5113">
        <w:rPr>
          <w:rFonts w:eastAsia="Times New Roman" w:cs="Times New Roman"/>
          <w:sz w:val="22"/>
          <w:szCs w:val="22"/>
          <w:lang w:eastAsia="en-GB"/>
        </w:rPr>
        <w:t xml:space="preserve">will have to be supported by training and a transfer of resources”, NHS Providers makes no comment about this apparent </w:t>
      </w:r>
      <w:r w:rsidR="00A603FA" w:rsidRPr="000F5113">
        <w:rPr>
          <w:rFonts w:eastAsia="Times New Roman" w:cs="Times New Roman"/>
          <w:sz w:val="22"/>
          <w:szCs w:val="22"/>
          <w:lang w:eastAsia="en-GB"/>
        </w:rPr>
        <w:t>de</w:t>
      </w:r>
      <w:r w:rsidR="001B38C0" w:rsidRPr="000F5113">
        <w:rPr>
          <w:rFonts w:eastAsia="Times New Roman" w:cs="Times New Roman"/>
          <w:sz w:val="22"/>
          <w:szCs w:val="22"/>
          <w:lang w:eastAsia="en-GB"/>
        </w:rPr>
        <w:t>-</w:t>
      </w:r>
      <w:r w:rsidR="00A603FA" w:rsidRPr="000F5113">
        <w:rPr>
          <w:rFonts w:eastAsia="Times New Roman" w:cs="Times New Roman"/>
          <w:sz w:val="22"/>
          <w:szCs w:val="22"/>
          <w:lang w:eastAsia="en-GB"/>
        </w:rPr>
        <w:t>professionalisation of clinical roles.</w:t>
      </w:r>
    </w:p>
    <w:p w14:paraId="4B974B59" w14:textId="77777777" w:rsidR="00D46BBD" w:rsidRPr="000F5113" w:rsidRDefault="00D46BBD" w:rsidP="00E73083">
      <w:pPr>
        <w:rPr>
          <w:rFonts w:cs="Times New Roman"/>
          <w:b/>
          <w:sz w:val="22"/>
          <w:szCs w:val="22"/>
        </w:rPr>
      </w:pPr>
    </w:p>
    <w:p w14:paraId="21E531D8" w14:textId="378DC256" w:rsidR="00C5411A" w:rsidRPr="000F5113" w:rsidRDefault="0080086E" w:rsidP="00E73083">
      <w:pPr>
        <w:rPr>
          <w:rFonts w:cs="Times New Roman"/>
          <w:sz w:val="22"/>
          <w:szCs w:val="22"/>
        </w:rPr>
      </w:pPr>
      <w:r w:rsidRPr="000F5113">
        <w:rPr>
          <w:rFonts w:cs="Times New Roman"/>
          <w:b/>
          <w:sz w:val="22"/>
          <w:szCs w:val="22"/>
        </w:rPr>
        <w:t>3.4.6</w:t>
      </w:r>
      <w:r w:rsidR="007E039D" w:rsidRPr="000F5113">
        <w:rPr>
          <w:rFonts w:cs="Times New Roman"/>
          <w:b/>
          <w:sz w:val="22"/>
          <w:szCs w:val="22"/>
        </w:rPr>
        <w:t xml:space="preserve"> </w:t>
      </w:r>
      <w:r w:rsidR="002E1226" w:rsidRPr="000F5113">
        <w:rPr>
          <w:rFonts w:cs="Times New Roman"/>
          <w:b/>
          <w:sz w:val="22"/>
          <w:szCs w:val="22"/>
        </w:rPr>
        <w:t>Link workers, care navigators, care coordinators</w:t>
      </w:r>
      <w:r w:rsidR="00E73083" w:rsidRPr="000F5113">
        <w:rPr>
          <w:rFonts w:cs="Times New Roman"/>
          <w:b/>
          <w:sz w:val="22"/>
          <w:szCs w:val="22"/>
        </w:rPr>
        <w:t xml:space="preserve"> </w:t>
      </w:r>
    </w:p>
    <w:p w14:paraId="70B5FC8A" w14:textId="62F5A65D" w:rsidR="00C5411A" w:rsidRPr="000F5113" w:rsidRDefault="00DB6AD9" w:rsidP="00C5411A">
      <w:pPr>
        <w:rPr>
          <w:rFonts w:cs="Times New Roman"/>
          <w:sz w:val="22"/>
          <w:szCs w:val="22"/>
        </w:rPr>
      </w:pPr>
      <w:r w:rsidRPr="000F5113">
        <w:rPr>
          <w:rFonts w:cs="Times New Roman"/>
          <w:sz w:val="22"/>
          <w:szCs w:val="22"/>
        </w:rPr>
        <w:t xml:space="preserve">The White Paper </w:t>
      </w:r>
      <w:r w:rsidR="00CF2128" w:rsidRPr="000F5113">
        <w:rPr>
          <w:rFonts w:cs="Times New Roman"/>
          <w:sz w:val="22"/>
          <w:szCs w:val="22"/>
        </w:rPr>
        <w:t xml:space="preserve">goes </w:t>
      </w:r>
      <w:r w:rsidRPr="000F5113">
        <w:rPr>
          <w:rFonts w:cs="Times New Roman"/>
          <w:sz w:val="22"/>
          <w:szCs w:val="22"/>
        </w:rPr>
        <w:t>further with reference to particular job roles</w:t>
      </w:r>
      <w:r w:rsidR="004F4F65" w:rsidRPr="000F5113">
        <w:rPr>
          <w:rFonts w:cs="Times New Roman"/>
          <w:sz w:val="22"/>
          <w:szCs w:val="22"/>
        </w:rPr>
        <w:t xml:space="preserve">, </w:t>
      </w:r>
      <w:r w:rsidR="00CF2128" w:rsidRPr="000F5113">
        <w:rPr>
          <w:rFonts w:cs="Times New Roman"/>
          <w:sz w:val="22"/>
          <w:szCs w:val="22"/>
        </w:rPr>
        <w:t xml:space="preserve">referring to plans </w:t>
      </w:r>
      <w:r w:rsidR="004F4F65" w:rsidRPr="000F5113">
        <w:rPr>
          <w:rFonts w:cs="Times New Roman"/>
          <w:sz w:val="22"/>
          <w:szCs w:val="22"/>
        </w:rPr>
        <w:t>to</w:t>
      </w:r>
      <w:r w:rsidR="00C5411A" w:rsidRPr="000F5113">
        <w:rPr>
          <w:rFonts w:cs="Times New Roman"/>
          <w:sz w:val="22"/>
          <w:szCs w:val="22"/>
        </w:rPr>
        <w:t xml:space="preserve"> remove barriers that prevent particular professions working across settings and make the best use of each person’s skills</w:t>
      </w:r>
      <w:r w:rsidR="00C5411A" w:rsidRPr="000F5113">
        <w:rPr>
          <w:rFonts w:cs="Times New Roman"/>
          <w:color w:val="800000"/>
          <w:sz w:val="22"/>
          <w:szCs w:val="22"/>
        </w:rPr>
        <w:t>.</w:t>
      </w:r>
      <w:r w:rsidR="00C5411A" w:rsidRPr="000F5113">
        <w:rPr>
          <w:rFonts w:cs="Times New Roman"/>
          <w:sz w:val="22"/>
          <w:szCs w:val="22"/>
        </w:rPr>
        <w:t xml:space="preserve"> </w:t>
      </w:r>
      <w:r w:rsidR="00A41960" w:rsidRPr="000F5113">
        <w:rPr>
          <w:rFonts w:cs="Times New Roman"/>
          <w:sz w:val="22"/>
          <w:szCs w:val="22"/>
        </w:rPr>
        <w:t>This</w:t>
      </w:r>
      <w:r w:rsidR="00C5411A" w:rsidRPr="000F5113">
        <w:rPr>
          <w:rFonts w:cs="Times New Roman"/>
          <w:sz w:val="22"/>
          <w:szCs w:val="22"/>
        </w:rPr>
        <w:t xml:space="preserve"> will:</w:t>
      </w:r>
    </w:p>
    <w:p w14:paraId="10A62881" w14:textId="086377CF" w:rsidR="00C5411A" w:rsidRPr="000F5113" w:rsidRDefault="007B45DF" w:rsidP="00CF2128">
      <w:pPr>
        <w:ind w:left="720"/>
        <w:rPr>
          <w:rFonts w:cs="Times New Roman"/>
          <w:sz w:val="22"/>
          <w:szCs w:val="22"/>
        </w:rPr>
      </w:pPr>
      <w:r w:rsidRPr="000F5113">
        <w:rPr>
          <w:rFonts w:cs="Times New Roman"/>
          <w:sz w:val="22"/>
          <w:szCs w:val="22"/>
        </w:rPr>
        <w:lastRenderedPageBreak/>
        <w:t>“</w:t>
      </w:r>
      <w:r w:rsidR="00C5411A" w:rsidRPr="000F5113">
        <w:rPr>
          <w:rFonts w:cs="Times New Roman"/>
          <w:sz w:val="22"/>
          <w:szCs w:val="22"/>
        </w:rPr>
        <w:t>promote the importance of the roles of link workers, named key worker and care navigator roles</w:t>
      </w:r>
      <w:r w:rsidR="00DD454D" w:rsidRPr="000F5113">
        <w:rPr>
          <w:rFonts w:cs="Times New Roman"/>
          <w:sz w:val="22"/>
          <w:szCs w:val="22"/>
        </w:rPr>
        <w:t xml:space="preserve"> [as set out in the HEE’s Care Navigation Competency Framework</w:t>
      </w:r>
      <w:r w:rsidR="00B56DE1" w:rsidRPr="000F5113">
        <w:rPr>
          <w:rFonts w:cs="Times New Roman"/>
          <w:sz w:val="22"/>
          <w:szCs w:val="22"/>
        </w:rPr>
        <w:t>]</w:t>
      </w:r>
      <w:r w:rsidR="00C5411A" w:rsidRPr="000F5113">
        <w:rPr>
          <w:rFonts w:cs="Times New Roman"/>
          <w:sz w:val="22"/>
          <w:szCs w:val="22"/>
        </w:rPr>
        <w:t xml:space="preserve"> as crucial enablers of integrated care provision. Current care navigator roles exist in multidisciplinary teams, or voluntary services, and are responsible for delivering assessments, advice, signposting, and coordination. Care managing in this way offers ways of sensibly sharing work and </w:t>
      </w:r>
      <w:r w:rsidR="00B56DE1" w:rsidRPr="000F5113">
        <w:rPr>
          <w:rFonts w:cs="Times New Roman"/>
          <w:sz w:val="22"/>
          <w:szCs w:val="22"/>
        </w:rPr>
        <w:t>r</w:t>
      </w:r>
      <w:r w:rsidR="00C5411A" w:rsidRPr="000F5113">
        <w:rPr>
          <w:rFonts w:cs="Times New Roman"/>
          <w:sz w:val="22"/>
          <w:szCs w:val="22"/>
        </w:rPr>
        <w:t xml:space="preserve">esponsibility, helping to relieve front-line </w:t>
      </w:r>
      <w:r w:rsidR="00FC5936" w:rsidRPr="000F5113">
        <w:rPr>
          <w:rFonts w:cs="Times New Roman"/>
          <w:sz w:val="22"/>
          <w:szCs w:val="22"/>
        </w:rPr>
        <w:t>clinician pressures and improve</w:t>
      </w:r>
      <w:r w:rsidR="00C5411A" w:rsidRPr="000F5113">
        <w:rPr>
          <w:rFonts w:cs="Times New Roman"/>
          <w:sz w:val="22"/>
          <w:szCs w:val="22"/>
        </w:rPr>
        <w:t xml:space="preserve"> overall quality of care for patients</w:t>
      </w:r>
      <w:r w:rsidR="00FC5936" w:rsidRPr="000F5113">
        <w:rPr>
          <w:rFonts w:cs="Times New Roman"/>
          <w:sz w:val="22"/>
          <w:szCs w:val="22"/>
        </w:rPr>
        <w:t>.”</w:t>
      </w:r>
    </w:p>
    <w:p w14:paraId="7F8886FA" w14:textId="0D7434B3" w:rsidR="002E1226" w:rsidRPr="000F5113" w:rsidRDefault="002E1226">
      <w:pPr>
        <w:rPr>
          <w:rFonts w:cs="Times New Roman"/>
          <w:b/>
          <w:sz w:val="22"/>
          <w:szCs w:val="22"/>
        </w:rPr>
      </w:pPr>
    </w:p>
    <w:p w14:paraId="62BAACEE" w14:textId="2EB765D1" w:rsidR="00563420" w:rsidRPr="000F5113" w:rsidRDefault="00563420">
      <w:pPr>
        <w:rPr>
          <w:rFonts w:cs="Times New Roman"/>
          <w:bCs/>
          <w:sz w:val="22"/>
          <w:szCs w:val="22"/>
        </w:rPr>
      </w:pPr>
      <w:r w:rsidRPr="000F5113">
        <w:rPr>
          <w:rFonts w:cs="Times New Roman"/>
          <w:bCs/>
          <w:sz w:val="22"/>
          <w:szCs w:val="22"/>
        </w:rPr>
        <w:t xml:space="preserve">Neither the Local Government Association nor NHS Providers make any specific reference to </w:t>
      </w:r>
      <w:r w:rsidR="0075253B" w:rsidRPr="000F5113">
        <w:rPr>
          <w:rFonts w:cs="Times New Roman"/>
          <w:bCs/>
          <w:sz w:val="22"/>
          <w:szCs w:val="22"/>
        </w:rPr>
        <w:t>these roles.</w:t>
      </w:r>
    </w:p>
    <w:p w14:paraId="74473DFB" w14:textId="77777777" w:rsidR="0075253B" w:rsidRPr="000F5113" w:rsidRDefault="0075253B">
      <w:pPr>
        <w:rPr>
          <w:rFonts w:cs="Times New Roman"/>
          <w:b/>
          <w:sz w:val="22"/>
          <w:szCs w:val="22"/>
        </w:rPr>
      </w:pPr>
    </w:p>
    <w:p w14:paraId="36831C37" w14:textId="736AD92D" w:rsidR="000936EC" w:rsidRPr="000F5113" w:rsidRDefault="005812B6">
      <w:pPr>
        <w:rPr>
          <w:rFonts w:cs="Times New Roman"/>
          <w:b/>
          <w:sz w:val="22"/>
          <w:szCs w:val="22"/>
        </w:rPr>
      </w:pPr>
      <w:r w:rsidRPr="000F5113">
        <w:rPr>
          <w:rFonts w:cs="Times New Roman"/>
          <w:b/>
          <w:sz w:val="22"/>
          <w:szCs w:val="22"/>
        </w:rPr>
        <w:t>3.4.7 Volunteering</w:t>
      </w:r>
    </w:p>
    <w:p w14:paraId="7E31E477" w14:textId="3437CABA" w:rsidR="00D154F9" w:rsidRPr="000F5113" w:rsidRDefault="0075253B" w:rsidP="00D154F9">
      <w:pPr>
        <w:rPr>
          <w:rFonts w:cs="Times New Roman"/>
          <w:sz w:val="22"/>
          <w:szCs w:val="22"/>
        </w:rPr>
      </w:pPr>
      <w:r w:rsidRPr="000F5113">
        <w:rPr>
          <w:rFonts w:cs="Times New Roman"/>
          <w:bCs/>
          <w:sz w:val="22"/>
          <w:szCs w:val="22"/>
        </w:rPr>
        <w:t xml:space="preserve">It is of concern that the White Paper raises the possibility of </w:t>
      </w:r>
      <w:r w:rsidR="00BC0EAC" w:rsidRPr="000F5113">
        <w:rPr>
          <w:rFonts w:cs="Times New Roman"/>
          <w:bCs/>
          <w:sz w:val="22"/>
          <w:szCs w:val="22"/>
        </w:rPr>
        <w:t>health and social care work being done by volunteers</w:t>
      </w:r>
      <w:r w:rsidR="00B57476" w:rsidRPr="000F5113">
        <w:rPr>
          <w:rFonts w:cs="Times New Roman"/>
          <w:bCs/>
          <w:sz w:val="22"/>
          <w:szCs w:val="22"/>
        </w:rPr>
        <w:t xml:space="preserve">.  It cites the </w:t>
      </w:r>
      <w:r w:rsidR="00B57476" w:rsidRPr="000F5113">
        <w:rPr>
          <w:rFonts w:cs="Times New Roman"/>
          <w:sz w:val="22"/>
          <w:szCs w:val="22"/>
        </w:rPr>
        <w:t>NHS Volunteer Responders Programme</w:t>
      </w:r>
      <w:r w:rsidR="00114132" w:rsidRPr="000F5113">
        <w:rPr>
          <w:rFonts w:cs="Times New Roman"/>
          <w:sz w:val="22"/>
          <w:szCs w:val="22"/>
        </w:rPr>
        <w:t xml:space="preserve"> during the pandemic</w:t>
      </w:r>
      <w:r w:rsidR="007B6942" w:rsidRPr="000F5113">
        <w:rPr>
          <w:rFonts w:cs="Times New Roman"/>
          <w:sz w:val="22"/>
          <w:szCs w:val="22"/>
        </w:rPr>
        <w:t>, supporting thousands of people who were shielding</w:t>
      </w:r>
      <w:r w:rsidR="003216CD" w:rsidRPr="000F5113">
        <w:rPr>
          <w:rFonts w:cs="Times New Roman"/>
          <w:sz w:val="22"/>
          <w:szCs w:val="22"/>
        </w:rPr>
        <w:t xml:space="preserve">, and </w:t>
      </w:r>
      <w:r w:rsidR="005812B6" w:rsidRPr="000F5113">
        <w:rPr>
          <w:rFonts w:cs="Times New Roman"/>
          <w:sz w:val="22"/>
          <w:szCs w:val="22"/>
        </w:rPr>
        <w:t>says,</w:t>
      </w:r>
      <w:r w:rsidR="003216CD" w:rsidRPr="000F5113">
        <w:rPr>
          <w:rFonts w:cs="Times New Roman"/>
          <w:sz w:val="22"/>
          <w:szCs w:val="22"/>
        </w:rPr>
        <w:t xml:space="preserve"> “DHSC and NHSEI have been working together on a scheme to build volunteering capacity for local health and social care systems. This type of joint action can strengthen community ties and improve life outcomes for health and social care users.”</w:t>
      </w:r>
      <w:r w:rsidR="00D154F9" w:rsidRPr="000F5113">
        <w:rPr>
          <w:rFonts w:cs="Times New Roman"/>
          <w:sz w:val="22"/>
          <w:szCs w:val="22"/>
        </w:rPr>
        <w:t xml:space="preserve">  It refers to “The creation of ‘blended’ enhanced home care roles that take on elements of some interventions previously carried out by district nurses has been piloted in Tameside (Greater Manchester) with plans to scale up in other Greater Manchester localities.” But </w:t>
      </w:r>
      <w:r w:rsidR="006A62F5" w:rsidRPr="000F5113">
        <w:rPr>
          <w:rFonts w:cs="Times New Roman"/>
          <w:sz w:val="22"/>
          <w:szCs w:val="22"/>
        </w:rPr>
        <w:t xml:space="preserve">it </w:t>
      </w:r>
      <w:r w:rsidR="00D154F9" w:rsidRPr="000F5113">
        <w:rPr>
          <w:rFonts w:cs="Times New Roman"/>
          <w:sz w:val="22"/>
          <w:szCs w:val="22"/>
        </w:rPr>
        <w:t>gives no further information on what this has actually involved</w:t>
      </w:r>
      <w:r w:rsidR="002F4230" w:rsidRPr="000F5113">
        <w:rPr>
          <w:rFonts w:cs="Times New Roman"/>
          <w:sz w:val="22"/>
          <w:szCs w:val="22"/>
        </w:rPr>
        <w:t>.</w:t>
      </w:r>
    </w:p>
    <w:p w14:paraId="60008864" w14:textId="77777777" w:rsidR="00B879DE" w:rsidRPr="000F5113" w:rsidRDefault="00B879DE">
      <w:pPr>
        <w:rPr>
          <w:rFonts w:cs="Times New Roman"/>
          <w:sz w:val="22"/>
          <w:szCs w:val="22"/>
        </w:rPr>
      </w:pPr>
    </w:p>
    <w:p w14:paraId="404600D1" w14:textId="6186B0B9" w:rsidR="00A80796" w:rsidRPr="000F5113" w:rsidRDefault="0080086E" w:rsidP="00E147CF">
      <w:pPr>
        <w:rPr>
          <w:rFonts w:cs="Times New Roman"/>
          <w:b/>
          <w:sz w:val="22"/>
          <w:szCs w:val="22"/>
        </w:rPr>
      </w:pPr>
      <w:r w:rsidRPr="000F5113">
        <w:rPr>
          <w:rFonts w:cs="Times New Roman"/>
          <w:b/>
          <w:sz w:val="22"/>
          <w:szCs w:val="22"/>
        </w:rPr>
        <w:t>3.5</w:t>
      </w:r>
      <w:r w:rsidR="00E206EE" w:rsidRPr="000F5113">
        <w:rPr>
          <w:rFonts w:cs="Times New Roman"/>
          <w:b/>
          <w:sz w:val="22"/>
          <w:szCs w:val="22"/>
        </w:rPr>
        <w:t xml:space="preserve">. </w:t>
      </w:r>
      <w:r w:rsidR="00A700B5" w:rsidRPr="000F5113">
        <w:rPr>
          <w:rFonts w:cs="Times New Roman"/>
          <w:b/>
          <w:sz w:val="22"/>
          <w:szCs w:val="22"/>
        </w:rPr>
        <w:t>D</w:t>
      </w:r>
      <w:r w:rsidR="00B879DE" w:rsidRPr="000F5113">
        <w:rPr>
          <w:rFonts w:cs="Times New Roman"/>
          <w:b/>
          <w:sz w:val="22"/>
          <w:szCs w:val="22"/>
        </w:rPr>
        <w:t xml:space="preserve">igital </w:t>
      </w:r>
    </w:p>
    <w:p w14:paraId="43033999" w14:textId="77777777" w:rsidR="001B38C0" w:rsidRPr="000F5113" w:rsidRDefault="001B38C0" w:rsidP="00E147CF">
      <w:pPr>
        <w:rPr>
          <w:rFonts w:cs="Times New Roman"/>
          <w:b/>
          <w:sz w:val="22"/>
          <w:szCs w:val="22"/>
        </w:rPr>
      </w:pPr>
      <w:r w:rsidRPr="000F5113">
        <w:rPr>
          <w:rFonts w:cs="Times New Roman"/>
          <w:b/>
          <w:sz w:val="22"/>
          <w:szCs w:val="22"/>
        </w:rPr>
        <w:t>3.5.1 Sharing data</w:t>
      </w:r>
    </w:p>
    <w:p w14:paraId="00DD2EEB" w14:textId="6DC57B38" w:rsidR="00E147CF" w:rsidRPr="000F5113" w:rsidRDefault="00E147CF" w:rsidP="00E147CF">
      <w:pPr>
        <w:rPr>
          <w:rFonts w:cs="Times New Roman"/>
          <w:sz w:val="22"/>
          <w:szCs w:val="22"/>
        </w:rPr>
      </w:pPr>
      <w:r w:rsidRPr="000F5113">
        <w:rPr>
          <w:rFonts w:cs="Times New Roman"/>
          <w:sz w:val="22"/>
          <w:szCs w:val="22"/>
        </w:rPr>
        <w:t>The White Paper claims that joining up data</w:t>
      </w:r>
      <w:r w:rsidR="00D26A08" w:rsidRPr="000F5113">
        <w:rPr>
          <w:rFonts w:cs="Times New Roman"/>
          <w:sz w:val="22"/>
          <w:szCs w:val="22"/>
        </w:rPr>
        <w:t>,</w:t>
      </w:r>
      <w:r w:rsidRPr="000F5113">
        <w:rPr>
          <w:rFonts w:cs="Times New Roman"/>
          <w:sz w:val="22"/>
          <w:szCs w:val="22"/>
        </w:rPr>
        <w:t xml:space="preserve"> along with a suite of standards and the development of standard terminology</w:t>
      </w:r>
      <w:r w:rsidR="00D26A08" w:rsidRPr="000F5113">
        <w:rPr>
          <w:rFonts w:cs="Times New Roman"/>
          <w:sz w:val="22"/>
          <w:szCs w:val="22"/>
        </w:rPr>
        <w:t>,</w:t>
      </w:r>
      <w:r w:rsidRPr="000F5113">
        <w:rPr>
          <w:rFonts w:cs="Times New Roman"/>
          <w:sz w:val="22"/>
          <w:szCs w:val="22"/>
        </w:rPr>
        <w:t xml:space="preserve"> will be important for </w:t>
      </w:r>
      <w:r w:rsidR="00E206EE" w:rsidRPr="000F5113">
        <w:rPr>
          <w:rFonts w:cs="Times New Roman"/>
          <w:sz w:val="22"/>
          <w:szCs w:val="22"/>
        </w:rPr>
        <w:t>improving s</w:t>
      </w:r>
      <w:r w:rsidR="00FC5936" w:rsidRPr="000F5113">
        <w:rPr>
          <w:rFonts w:cs="Times New Roman"/>
          <w:sz w:val="22"/>
          <w:szCs w:val="22"/>
        </w:rPr>
        <w:t>taff access as well as</w:t>
      </w:r>
      <w:r w:rsidR="00E206EE" w:rsidRPr="000F5113">
        <w:rPr>
          <w:rFonts w:cs="Times New Roman"/>
          <w:sz w:val="22"/>
          <w:szCs w:val="22"/>
        </w:rPr>
        <w:t xml:space="preserve"> </w:t>
      </w:r>
      <w:r w:rsidRPr="000F5113">
        <w:rPr>
          <w:rFonts w:cs="Times New Roman"/>
          <w:sz w:val="22"/>
          <w:szCs w:val="22"/>
        </w:rPr>
        <w:t>giving patients access to their own shared care record across health and care services (</w:t>
      </w:r>
      <w:r w:rsidR="00FC5936" w:rsidRPr="000F5113">
        <w:rPr>
          <w:rFonts w:cs="Times New Roman"/>
          <w:sz w:val="22"/>
          <w:szCs w:val="22"/>
        </w:rPr>
        <w:t xml:space="preserve">this is </w:t>
      </w:r>
      <w:r w:rsidRPr="000F5113">
        <w:rPr>
          <w:rFonts w:cs="Times New Roman"/>
          <w:sz w:val="22"/>
          <w:szCs w:val="22"/>
        </w:rPr>
        <w:t>in order to take more control of their he</w:t>
      </w:r>
      <w:r w:rsidR="00E206EE" w:rsidRPr="000F5113">
        <w:rPr>
          <w:rFonts w:cs="Times New Roman"/>
          <w:sz w:val="22"/>
          <w:szCs w:val="22"/>
        </w:rPr>
        <w:t>alth and keep themselves well</w:t>
      </w:r>
      <w:r w:rsidR="00D26A08" w:rsidRPr="000F5113">
        <w:rPr>
          <w:rFonts w:cs="Times New Roman"/>
          <w:sz w:val="22"/>
          <w:szCs w:val="22"/>
        </w:rPr>
        <w:t>!</w:t>
      </w:r>
      <w:r w:rsidR="00E206EE" w:rsidRPr="000F5113">
        <w:rPr>
          <w:rFonts w:cs="Times New Roman"/>
          <w:sz w:val="22"/>
          <w:szCs w:val="22"/>
        </w:rPr>
        <w:t>)</w:t>
      </w:r>
      <w:r w:rsidRPr="000F5113">
        <w:rPr>
          <w:rFonts w:cs="Times New Roman"/>
          <w:sz w:val="22"/>
          <w:szCs w:val="22"/>
        </w:rPr>
        <w:t xml:space="preserve">. </w:t>
      </w:r>
    </w:p>
    <w:p w14:paraId="0514AE64" w14:textId="77777777" w:rsidR="00D26A08" w:rsidRPr="000F5113" w:rsidRDefault="00D26A08" w:rsidP="00E206EE">
      <w:pPr>
        <w:rPr>
          <w:rFonts w:cs="Times New Roman"/>
          <w:sz w:val="22"/>
          <w:szCs w:val="22"/>
        </w:rPr>
      </w:pPr>
    </w:p>
    <w:p w14:paraId="399AB0B3" w14:textId="433ED952" w:rsidR="00E206EE" w:rsidRPr="000F5113" w:rsidRDefault="00D26A08" w:rsidP="00E206EE">
      <w:pPr>
        <w:rPr>
          <w:rFonts w:cs="Times New Roman"/>
          <w:sz w:val="22"/>
          <w:szCs w:val="22"/>
        </w:rPr>
      </w:pPr>
      <w:r w:rsidRPr="000F5113">
        <w:rPr>
          <w:rFonts w:cs="Times New Roman"/>
          <w:sz w:val="22"/>
          <w:szCs w:val="22"/>
        </w:rPr>
        <w:t>There are several references to the importance of h</w:t>
      </w:r>
      <w:r w:rsidR="00E206EE" w:rsidRPr="000F5113">
        <w:rPr>
          <w:rFonts w:cs="Times New Roman"/>
          <w:sz w:val="22"/>
          <w:szCs w:val="22"/>
        </w:rPr>
        <w:t xml:space="preserve">ealth and care providers </w:t>
      </w:r>
      <w:r w:rsidR="00FC5936" w:rsidRPr="000F5113">
        <w:rPr>
          <w:rFonts w:cs="Times New Roman"/>
          <w:sz w:val="22"/>
          <w:szCs w:val="22"/>
        </w:rPr>
        <w:t>within an</w:t>
      </w:r>
      <w:r w:rsidR="00E206EE" w:rsidRPr="000F5113">
        <w:rPr>
          <w:rFonts w:cs="Times New Roman"/>
          <w:sz w:val="22"/>
          <w:szCs w:val="22"/>
        </w:rPr>
        <w:t xml:space="preserve"> ICS reach</w:t>
      </w:r>
      <w:r w:rsidRPr="000F5113">
        <w:rPr>
          <w:rFonts w:cs="Times New Roman"/>
          <w:sz w:val="22"/>
          <w:szCs w:val="22"/>
        </w:rPr>
        <w:t>ing</w:t>
      </w:r>
      <w:r w:rsidR="00E206EE" w:rsidRPr="000F5113">
        <w:rPr>
          <w:rFonts w:cs="Times New Roman"/>
          <w:sz w:val="22"/>
          <w:szCs w:val="22"/>
        </w:rPr>
        <w:t xml:space="preserve"> a certain level of digital maturity.</w:t>
      </w:r>
    </w:p>
    <w:p w14:paraId="177BA53E" w14:textId="77777777" w:rsidR="00E206EE" w:rsidRPr="000F5113" w:rsidRDefault="00E206EE">
      <w:pPr>
        <w:rPr>
          <w:rFonts w:cs="Times New Roman"/>
          <w:sz w:val="22"/>
          <w:szCs w:val="22"/>
        </w:rPr>
      </w:pPr>
    </w:p>
    <w:p w14:paraId="68FD0113" w14:textId="08F883B3" w:rsidR="00E147CF" w:rsidRPr="000F5113" w:rsidRDefault="00E147CF">
      <w:pPr>
        <w:rPr>
          <w:rFonts w:cs="Times New Roman"/>
          <w:sz w:val="22"/>
          <w:szCs w:val="22"/>
        </w:rPr>
      </w:pPr>
      <w:r w:rsidRPr="000F5113">
        <w:rPr>
          <w:rFonts w:cs="Times New Roman"/>
          <w:sz w:val="22"/>
          <w:szCs w:val="22"/>
        </w:rPr>
        <w:t>Basic shared care records are now in place in almost all ICSs but must cover the entirety of a person’s life for both health and social care, which they currently don’t. “We will also reinforce the use of the NHS number universally across social care”.</w:t>
      </w:r>
    </w:p>
    <w:p w14:paraId="1A84AB56" w14:textId="77777777" w:rsidR="00EF78CB" w:rsidRPr="000F5113" w:rsidRDefault="00EF78CB">
      <w:pPr>
        <w:rPr>
          <w:rFonts w:cs="Times New Roman"/>
          <w:sz w:val="22"/>
          <w:szCs w:val="22"/>
        </w:rPr>
      </w:pPr>
    </w:p>
    <w:p w14:paraId="3E6FE2DB" w14:textId="77777777" w:rsidR="009E693A" w:rsidRPr="000F5113" w:rsidRDefault="00E147CF">
      <w:pPr>
        <w:rPr>
          <w:rFonts w:cs="Times New Roman"/>
          <w:sz w:val="22"/>
          <w:szCs w:val="22"/>
        </w:rPr>
      </w:pPr>
      <w:r w:rsidRPr="000F5113">
        <w:rPr>
          <w:rFonts w:cs="Times New Roman"/>
          <w:sz w:val="22"/>
          <w:szCs w:val="22"/>
        </w:rPr>
        <w:t xml:space="preserve">Systems will be put in place to link and combine data to enable improved direct care and better analytics for population health management. </w:t>
      </w:r>
    </w:p>
    <w:p w14:paraId="227C6B0C" w14:textId="010975A0" w:rsidR="009E693A" w:rsidRPr="000F5113" w:rsidRDefault="00777119" w:rsidP="009E693A">
      <w:pPr>
        <w:ind w:left="720"/>
        <w:rPr>
          <w:rFonts w:cs="Times New Roman"/>
          <w:sz w:val="22"/>
          <w:szCs w:val="22"/>
        </w:rPr>
      </w:pPr>
      <w:r w:rsidRPr="000F5113">
        <w:rPr>
          <w:rFonts w:cs="Times New Roman"/>
          <w:sz w:val="22"/>
          <w:szCs w:val="22"/>
        </w:rPr>
        <w:t>“</w:t>
      </w:r>
      <w:r w:rsidR="00E147CF" w:rsidRPr="000F5113">
        <w:rPr>
          <w:rFonts w:cs="Times New Roman"/>
          <w:sz w:val="22"/>
          <w:szCs w:val="22"/>
        </w:rPr>
        <w:t xml:space="preserve">This includes connecting data from every health and social care provider to provide a near real-time picture of </w:t>
      </w:r>
      <w:r w:rsidR="009E693A" w:rsidRPr="000F5113">
        <w:rPr>
          <w:rFonts w:cs="Times New Roman"/>
          <w:sz w:val="22"/>
          <w:szCs w:val="22"/>
        </w:rPr>
        <w:t xml:space="preserve">NHS care at ICS, regional and nation levels to enable transformation of care pathways and providing insight to all users through </w:t>
      </w:r>
      <w:r w:rsidR="009E693A" w:rsidRPr="000F5113">
        <w:rPr>
          <w:rFonts w:cs="Times New Roman"/>
          <w:i/>
          <w:sz w:val="22"/>
          <w:szCs w:val="22"/>
        </w:rPr>
        <w:t>user led product design</w:t>
      </w:r>
      <w:r w:rsidR="009E693A" w:rsidRPr="000F5113">
        <w:rPr>
          <w:rFonts w:cs="Times New Roman"/>
          <w:sz w:val="22"/>
          <w:szCs w:val="22"/>
        </w:rPr>
        <w:t xml:space="preserve"> </w:t>
      </w:r>
      <w:r w:rsidR="00EF78CB" w:rsidRPr="000F5113">
        <w:rPr>
          <w:rFonts w:cs="Times New Roman"/>
          <w:sz w:val="22"/>
          <w:szCs w:val="22"/>
        </w:rPr>
        <w:t xml:space="preserve">(?) </w:t>
      </w:r>
      <w:r w:rsidR="009E693A" w:rsidRPr="000F5113">
        <w:rPr>
          <w:rFonts w:cs="Times New Roman"/>
          <w:sz w:val="22"/>
          <w:szCs w:val="22"/>
        </w:rPr>
        <w:t>and supporting deployment functions.</w:t>
      </w:r>
      <w:r w:rsidRPr="000F5113">
        <w:rPr>
          <w:rFonts w:cs="Times New Roman"/>
          <w:sz w:val="22"/>
          <w:szCs w:val="22"/>
        </w:rPr>
        <w:t>”</w:t>
      </w:r>
    </w:p>
    <w:p w14:paraId="3AFEC3DF" w14:textId="77777777" w:rsidR="00526A46" w:rsidRPr="000F5113" w:rsidRDefault="00526A46">
      <w:pPr>
        <w:rPr>
          <w:rFonts w:cs="Times New Roman"/>
          <w:sz w:val="22"/>
          <w:szCs w:val="22"/>
        </w:rPr>
      </w:pPr>
    </w:p>
    <w:p w14:paraId="4E7CB968" w14:textId="2C81C635" w:rsidR="00E206EE" w:rsidRPr="000F5113" w:rsidRDefault="0080086E">
      <w:pPr>
        <w:rPr>
          <w:rFonts w:cs="Times New Roman"/>
          <w:b/>
          <w:sz w:val="22"/>
          <w:szCs w:val="22"/>
        </w:rPr>
      </w:pPr>
      <w:r w:rsidRPr="000F5113">
        <w:rPr>
          <w:rFonts w:cs="Times New Roman"/>
          <w:b/>
          <w:sz w:val="22"/>
          <w:szCs w:val="22"/>
        </w:rPr>
        <w:t>3.5</w:t>
      </w:r>
      <w:r w:rsidR="001B38C0" w:rsidRPr="000F5113">
        <w:rPr>
          <w:rFonts w:cs="Times New Roman"/>
          <w:b/>
          <w:sz w:val="22"/>
          <w:szCs w:val="22"/>
        </w:rPr>
        <w:t>.2</w:t>
      </w:r>
      <w:r w:rsidR="00D26A08" w:rsidRPr="000F5113">
        <w:rPr>
          <w:rFonts w:cs="Times New Roman"/>
          <w:b/>
          <w:sz w:val="22"/>
          <w:szCs w:val="22"/>
        </w:rPr>
        <w:t xml:space="preserve"> </w:t>
      </w:r>
      <w:r w:rsidR="00E206EE" w:rsidRPr="000F5113">
        <w:rPr>
          <w:rFonts w:cs="Times New Roman"/>
          <w:b/>
          <w:sz w:val="22"/>
          <w:szCs w:val="22"/>
        </w:rPr>
        <w:t>Data governance</w:t>
      </w:r>
    </w:p>
    <w:p w14:paraId="2D6F64E8" w14:textId="0690E78F" w:rsidR="00E206EE" w:rsidRPr="000F5113" w:rsidRDefault="00E206EE" w:rsidP="00E206EE">
      <w:pPr>
        <w:rPr>
          <w:rFonts w:cs="Times New Roman"/>
          <w:sz w:val="22"/>
          <w:szCs w:val="22"/>
        </w:rPr>
      </w:pPr>
      <w:r w:rsidRPr="000F5113">
        <w:rPr>
          <w:rFonts w:cs="Times New Roman"/>
          <w:sz w:val="22"/>
          <w:szCs w:val="22"/>
        </w:rPr>
        <w:t>The Health and Care Bill, if passed, will mandate standards on how data is collected and stored so it can pass through the system in a useable way. The Bill also creates a statutory duty for organisations within the health and care system to share anonymous data.</w:t>
      </w:r>
    </w:p>
    <w:p w14:paraId="5C010025" w14:textId="77777777" w:rsidR="00E206EE" w:rsidRPr="000F5113" w:rsidRDefault="00E206EE">
      <w:pPr>
        <w:rPr>
          <w:rFonts w:cs="Times New Roman"/>
          <w:sz w:val="22"/>
          <w:szCs w:val="22"/>
        </w:rPr>
      </w:pPr>
    </w:p>
    <w:p w14:paraId="5A721252" w14:textId="3642C4C2" w:rsidR="00B879DE" w:rsidRPr="000F5113" w:rsidRDefault="00526A46">
      <w:pPr>
        <w:rPr>
          <w:rFonts w:cs="Times New Roman"/>
          <w:sz w:val="22"/>
          <w:szCs w:val="22"/>
        </w:rPr>
      </w:pPr>
      <w:r w:rsidRPr="000F5113">
        <w:rPr>
          <w:rFonts w:cs="Times New Roman"/>
          <w:sz w:val="22"/>
          <w:szCs w:val="22"/>
        </w:rPr>
        <w:t xml:space="preserve">The </w:t>
      </w:r>
      <w:r w:rsidR="00300658" w:rsidRPr="000F5113">
        <w:rPr>
          <w:rFonts w:cs="Times New Roman"/>
          <w:sz w:val="22"/>
          <w:szCs w:val="22"/>
        </w:rPr>
        <w:t xml:space="preserve">White Paper refers to a </w:t>
      </w:r>
      <w:r w:rsidR="009E693A" w:rsidRPr="000F5113">
        <w:rPr>
          <w:rFonts w:cs="Times New Roman"/>
          <w:sz w:val="22"/>
          <w:szCs w:val="22"/>
        </w:rPr>
        <w:t xml:space="preserve">Health and Social Care Information Governance Portal </w:t>
      </w:r>
      <w:r w:rsidR="00300658" w:rsidRPr="000F5113">
        <w:rPr>
          <w:rFonts w:cs="Times New Roman"/>
          <w:sz w:val="22"/>
          <w:szCs w:val="22"/>
        </w:rPr>
        <w:t xml:space="preserve">that </w:t>
      </w:r>
      <w:r w:rsidR="009E693A" w:rsidRPr="000F5113">
        <w:rPr>
          <w:rFonts w:cs="Times New Roman"/>
          <w:sz w:val="22"/>
          <w:szCs w:val="22"/>
        </w:rPr>
        <w:t xml:space="preserve">provides guidance </w:t>
      </w:r>
      <w:r w:rsidR="00FC5936" w:rsidRPr="000F5113">
        <w:rPr>
          <w:rFonts w:cs="Times New Roman"/>
          <w:sz w:val="22"/>
          <w:szCs w:val="22"/>
        </w:rPr>
        <w:t>to health and social care workers on information sharing</w:t>
      </w:r>
      <w:r w:rsidR="00690C28" w:rsidRPr="000F5113">
        <w:rPr>
          <w:rFonts w:cs="Times New Roman"/>
          <w:sz w:val="22"/>
          <w:szCs w:val="22"/>
        </w:rPr>
        <w:t>.</w:t>
      </w:r>
      <w:r w:rsidR="00D26A08" w:rsidRPr="000F5113">
        <w:rPr>
          <w:rFonts w:cs="Times New Roman"/>
          <w:sz w:val="22"/>
          <w:szCs w:val="22"/>
        </w:rPr>
        <w:t xml:space="preserve"> </w:t>
      </w:r>
      <w:r w:rsidR="009E693A" w:rsidRPr="000F5113">
        <w:rPr>
          <w:rFonts w:cs="Times New Roman"/>
          <w:sz w:val="22"/>
          <w:szCs w:val="22"/>
        </w:rPr>
        <w:t xml:space="preserve">This includes a Framework </w:t>
      </w:r>
      <w:r w:rsidR="00300658" w:rsidRPr="000F5113">
        <w:rPr>
          <w:rFonts w:cs="Times New Roman"/>
          <w:sz w:val="22"/>
          <w:szCs w:val="22"/>
        </w:rPr>
        <w:t xml:space="preserve">for Shared Care Records (possibly at odds with the requirements </w:t>
      </w:r>
      <w:r w:rsidR="00300658" w:rsidRPr="000F5113">
        <w:rPr>
          <w:rFonts w:cs="Times New Roman"/>
          <w:sz w:val="22"/>
          <w:szCs w:val="22"/>
        </w:rPr>
        <w:lastRenderedPageBreak/>
        <w:t>set out by the In</w:t>
      </w:r>
      <w:r w:rsidR="00D26A08" w:rsidRPr="000F5113">
        <w:rPr>
          <w:rFonts w:cs="Times New Roman"/>
          <w:sz w:val="22"/>
          <w:szCs w:val="22"/>
        </w:rPr>
        <w:t>formation Commissioner’s Office</w:t>
      </w:r>
      <w:r w:rsidR="00300658" w:rsidRPr="000F5113">
        <w:rPr>
          <w:rFonts w:cs="Times New Roman"/>
          <w:sz w:val="22"/>
          <w:szCs w:val="22"/>
        </w:rPr>
        <w:t>)</w:t>
      </w:r>
      <w:r w:rsidR="00D26A08" w:rsidRPr="000F5113">
        <w:rPr>
          <w:rFonts w:cs="Times New Roman"/>
          <w:sz w:val="22"/>
          <w:szCs w:val="22"/>
        </w:rPr>
        <w:t xml:space="preserve"> </w:t>
      </w:r>
      <w:r w:rsidR="00300658" w:rsidRPr="000F5113">
        <w:rPr>
          <w:rFonts w:cs="Times New Roman"/>
          <w:sz w:val="22"/>
          <w:szCs w:val="22"/>
        </w:rPr>
        <w:t xml:space="preserve">to support </w:t>
      </w:r>
      <w:r w:rsidR="009E693A" w:rsidRPr="000F5113">
        <w:rPr>
          <w:rFonts w:cs="Times New Roman"/>
          <w:sz w:val="22"/>
          <w:szCs w:val="22"/>
        </w:rPr>
        <w:t xml:space="preserve">the workforce </w:t>
      </w:r>
      <w:r w:rsidR="0046076B" w:rsidRPr="000F5113">
        <w:rPr>
          <w:rFonts w:cs="Times New Roman"/>
          <w:sz w:val="22"/>
          <w:szCs w:val="22"/>
        </w:rPr>
        <w:t>in having</w:t>
      </w:r>
      <w:r w:rsidR="009E693A" w:rsidRPr="000F5113">
        <w:rPr>
          <w:rFonts w:cs="Times New Roman"/>
          <w:sz w:val="22"/>
          <w:szCs w:val="22"/>
        </w:rPr>
        <w:t xml:space="preserve"> confidence in sharing information where appropriate. </w:t>
      </w:r>
      <w:r w:rsidR="00E206EE" w:rsidRPr="000F5113">
        <w:rPr>
          <w:rFonts w:cs="Times New Roman"/>
          <w:sz w:val="22"/>
          <w:szCs w:val="22"/>
        </w:rPr>
        <w:t xml:space="preserve"> </w:t>
      </w:r>
    </w:p>
    <w:p w14:paraId="4E60C8D2" w14:textId="77777777" w:rsidR="00300658" w:rsidRPr="000F5113" w:rsidRDefault="00300658">
      <w:pPr>
        <w:rPr>
          <w:rFonts w:cs="Times New Roman"/>
          <w:sz w:val="22"/>
          <w:szCs w:val="22"/>
        </w:rPr>
      </w:pPr>
    </w:p>
    <w:p w14:paraId="4507E9A2" w14:textId="69459B0F" w:rsidR="00300658" w:rsidRPr="000F5113" w:rsidRDefault="0080086E" w:rsidP="00300658">
      <w:pPr>
        <w:rPr>
          <w:rFonts w:cs="Times New Roman"/>
          <w:b/>
          <w:sz w:val="22"/>
          <w:szCs w:val="22"/>
        </w:rPr>
      </w:pPr>
      <w:r w:rsidRPr="000F5113">
        <w:rPr>
          <w:rFonts w:cs="Times New Roman"/>
          <w:b/>
          <w:sz w:val="22"/>
          <w:szCs w:val="22"/>
        </w:rPr>
        <w:t>3.5</w:t>
      </w:r>
      <w:r w:rsidR="001B38C0" w:rsidRPr="000F5113">
        <w:rPr>
          <w:rFonts w:cs="Times New Roman"/>
          <w:b/>
          <w:sz w:val="22"/>
          <w:szCs w:val="22"/>
        </w:rPr>
        <w:t>.3</w:t>
      </w:r>
      <w:r w:rsidR="0046076B" w:rsidRPr="000F5113">
        <w:rPr>
          <w:rFonts w:cs="Times New Roman"/>
          <w:b/>
          <w:sz w:val="22"/>
          <w:szCs w:val="22"/>
        </w:rPr>
        <w:t xml:space="preserve"> </w:t>
      </w:r>
      <w:r w:rsidRPr="000F5113">
        <w:rPr>
          <w:rFonts w:cs="Times New Roman"/>
          <w:b/>
          <w:sz w:val="22"/>
          <w:szCs w:val="22"/>
        </w:rPr>
        <w:t xml:space="preserve">Data </w:t>
      </w:r>
      <w:r w:rsidR="00300658" w:rsidRPr="000F5113">
        <w:rPr>
          <w:rFonts w:cs="Times New Roman"/>
          <w:b/>
          <w:sz w:val="22"/>
          <w:szCs w:val="22"/>
        </w:rPr>
        <w:t>workforce</w:t>
      </w:r>
    </w:p>
    <w:p w14:paraId="3FA0CE94" w14:textId="43E99FA6" w:rsidR="00E206EE" w:rsidRPr="000F5113" w:rsidRDefault="00E33B1A">
      <w:pPr>
        <w:rPr>
          <w:rFonts w:cs="Times New Roman"/>
          <w:sz w:val="22"/>
          <w:szCs w:val="22"/>
        </w:rPr>
      </w:pPr>
      <w:r w:rsidRPr="000F5113">
        <w:rPr>
          <w:rFonts w:cs="Times New Roman"/>
          <w:sz w:val="22"/>
          <w:szCs w:val="22"/>
        </w:rPr>
        <w:t>According to the White Paper, guidance from the Health and Social Care Information Governance Portal</w:t>
      </w:r>
    </w:p>
    <w:p w14:paraId="749E8575" w14:textId="5CD32D77" w:rsidR="005E07F3" w:rsidRPr="000F5113" w:rsidRDefault="00777119" w:rsidP="005E07F3">
      <w:pPr>
        <w:ind w:left="720"/>
        <w:rPr>
          <w:rFonts w:eastAsia="Times New Roman" w:cs="Times New Roman"/>
          <w:color w:val="0B0C0C"/>
          <w:sz w:val="22"/>
          <w:szCs w:val="22"/>
          <w:shd w:val="clear" w:color="auto" w:fill="FFFFFF"/>
        </w:rPr>
      </w:pPr>
      <w:r w:rsidRPr="000F5113">
        <w:rPr>
          <w:rFonts w:eastAsia="Times New Roman" w:cs="Times New Roman"/>
          <w:color w:val="0B0C0C"/>
          <w:sz w:val="22"/>
          <w:szCs w:val="22"/>
          <w:shd w:val="clear" w:color="auto" w:fill="FFFFFF"/>
        </w:rPr>
        <w:t>“</w:t>
      </w:r>
      <w:r w:rsidR="009E693A" w:rsidRPr="000F5113">
        <w:rPr>
          <w:rFonts w:eastAsia="Times New Roman" w:cs="Times New Roman"/>
          <w:color w:val="0B0C0C"/>
          <w:sz w:val="22"/>
          <w:szCs w:val="22"/>
          <w:shd w:val="clear" w:color="auto" w:fill="FFFFFF"/>
        </w:rPr>
        <w:t>recognises certain roles within the adult social care sector such as registered managers to be ‘health and care professionals’, which ensures that information can be more easily shared across health and social care settings.</w:t>
      </w:r>
      <w:r w:rsidRPr="000F5113">
        <w:rPr>
          <w:rFonts w:eastAsia="Times New Roman" w:cs="Times New Roman"/>
          <w:color w:val="0B0C0C"/>
          <w:sz w:val="22"/>
          <w:szCs w:val="22"/>
          <w:shd w:val="clear" w:color="auto" w:fill="FFFFFF"/>
        </w:rPr>
        <w:t>”</w:t>
      </w:r>
      <w:r w:rsidR="00E206EE" w:rsidRPr="000F5113">
        <w:rPr>
          <w:rFonts w:eastAsia="Times New Roman" w:cs="Times New Roman"/>
          <w:color w:val="0B0C0C"/>
          <w:sz w:val="22"/>
          <w:szCs w:val="22"/>
          <w:shd w:val="clear" w:color="auto" w:fill="FFFFFF"/>
        </w:rPr>
        <w:t xml:space="preserve"> (4.14)</w:t>
      </w:r>
    </w:p>
    <w:p w14:paraId="6BB8A9F2" w14:textId="77777777" w:rsidR="00A03CFF" w:rsidRPr="000F5113" w:rsidRDefault="00A03CFF" w:rsidP="000F004C">
      <w:pPr>
        <w:rPr>
          <w:rFonts w:cs="Times New Roman"/>
          <w:sz w:val="22"/>
          <w:szCs w:val="22"/>
        </w:rPr>
      </w:pPr>
    </w:p>
    <w:p w14:paraId="1B0CF506" w14:textId="5C175A6D" w:rsidR="00825264" w:rsidRPr="000F5113" w:rsidRDefault="00E33B1A" w:rsidP="000F004C">
      <w:pPr>
        <w:rPr>
          <w:rFonts w:eastAsia="Times New Roman" w:cs="Times New Roman"/>
          <w:color w:val="0B0C0C"/>
          <w:sz w:val="22"/>
          <w:szCs w:val="22"/>
          <w:shd w:val="clear" w:color="auto" w:fill="FFFFFF"/>
        </w:rPr>
      </w:pPr>
      <w:r w:rsidRPr="000F5113">
        <w:rPr>
          <w:rFonts w:cs="Times New Roman"/>
          <w:sz w:val="22"/>
          <w:szCs w:val="22"/>
        </w:rPr>
        <w:t>Increased access to s</w:t>
      </w:r>
      <w:r w:rsidR="00A03CFF" w:rsidRPr="000F5113">
        <w:rPr>
          <w:rFonts w:cs="Times New Roman"/>
          <w:sz w:val="22"/>
          <w:szCs w:val="22"/>
        </w:rPr>
        <w:t xml:space="preserve">hared data records </w:t>
      </w:r>
      <w:r w:rsidR="00F23D16" w:rsidRPr="000F5113">
        <w:rPr>
          <w:rFonts w:cs="Times New Roman"/>
          <w:sz w:val="22"/>
          <w:szCs w:val="22"/>
        </w:rPr>
        <w:t xml:space="preserve">implies the involvement of </w:t>
      </w:r>
      <w:r w:rsidR="00A03CFF" w:rsidRPr="000F5113">
        <w:rPr>
          <w:rFonts w:cs="Times New Roman"/>
          <w:sz w:val="22"/>
          <w:szCs w:val="22"/>
        </w:rPr>
        <w:t>multiple data controllers and processors and</w:t>
      </w:r>
      <w:r w:rsidRPr="000F5113">
        <w:rPr>
          <w:rFonts w:cs="Times New Roman"/>
          <w:sz w:val="22"/>
          <w:szCs w:val="22"/>
        </w:rPr>
        <w:t>,</w:t>
      </w:r>
      <w:r w:rsidR="00A03CFF" w:rsidRPr="000F5113">
        <w:rPr>
          <w:rFonts w:cs="Times New Roman"/>
          <w:sz w:val="22"/>
          <w:szCs w:val="22"/>
        </w:rPr>
        <w:t xml:space="preserve"> as the White Paper puts </w:t>
      </w:r>
      <w:r w:rsidRPr="000F5113">
        <w:rPr>
          <w:rFonts w:cs="Times New Roman"/>
          <w:sz w:val="22"/>
          <w:szCs w:val="22"/>
        </w:rPr>
        <w:t>it in its final section, the nex</w:t>
      </w:r>
      <w:r w:rsidR="00A03CFF" w:rsidRPr="000F5113">
        <w:rPr>
          <w:rFonts w:cs="Times New Roman"/>
          <w:sz w:val="22"/>
          <w:szCs w:val="22"/>
        </w:rPr>
        <w:t xml:space="preserve">t steps must include </w:t>
      </w:r>
      <w:r w:rsidR="00A03CFF" w:rsidRPr="000F5113">
        <w:rPr>
          <w:rFonts w:eastAsia="Times New Roman" w:cs="Times New Roman"/>
          <w:color w:val="0B0C0C"/>
          <w:sz w:val="22"/>
          <w:szCs w:val="22"/>
        </w:rPr>
        <w:t xml:space="preserve">“ensur[ing] all professionals have access to a </w:t>
      </w:r>
      <w:r w:rsidR="00825264" w:rsidRPr="000F5113">
        <w:rPr>
          <w:rFonts w:eastAsia="Times New Roman" w:cs="Times New Roman"/>
          <w:color w:val="0B0C0C"/>
          <w:sz w:val="22"/>
          <w:szCs w:val="22"/>
        </w:rPr>
        <w:t>functional</w:t>
      </w:r>
      <w:r w:rsidR="00A03CFF" w:rsidRPr="000F5113">
        <w:rPr>
          <w:rFonts w:eastAsia="Times New Roman" w:cs="Times New Roman"/>
          <w:color w:val="0B0C0C"/>
          <w:sz w:val="22"/>
          <w:szCs w:val="22"/>
        </w:rPr>
        <w:t xml:space="preserve"> single health and adult social care record for each citizen (by 2024)”. </w:t>
      </w:r>
      <w:r w:rsidR="0080086E" w:rsidRPr="000F5113">
        <w:rPr>
          <w:rFonts w:eastAsia="Times New Roman" w:cs="Times New Roman"/>
          <w:color w:val="0B0C0C"/>
          <w:sz w:val="22"/>
          <w:szCs w:val="22"/>
        </w:rPr>
        <w:t xml:space="preserve">However, its definition of ‘professional’ is troublesome. </w:t>
      </w:r>
      <w:r w:rsidR="00D31E54" w:rsidRPr="000F5113">
        <w:rPr>
          <w:rFonts w:eastAsia="Times New Roman" w:cs="Times New Roman"/>
          <w:color w:val="0B0C0C"/>
          <w:sz w:val="22"/>
          <w:szCs w:val="22"/>
          <w:shd w:val="clear" w:color="auto" w:fill="FFFFFF"/>
        </w:rPr>
        <w:t>Echoing the aims of the Health and Care Bill to deregulate and blur professional boundaries, t</w:t>
      </w:r>
      <w:r w:rsidR="00A03CFF" w:rsidRPr="000F5113">
        <w:rPr>
          <w:rFonts w:eastAsia="Times New Roman" w:cs="Times New Roman"/>
          <w:color w:val="0B0C0C"/>
          <w:sz w:val="22"/>
          <w:szCs w:val="22"/>
          <w:shd w:val="clear" w:color="auto" w:fill="FFFFFF"/>
        </w:rPr>
        <w:t>he White Paper</w:t>
      </w:r>
      <w:r w:rsidR="000F004C" w:rsidRPr="000F5113">
        <w:rPr>
          <w:rFonts w:eastAsia="Times New Roman" w:cs="Times New Roman"/>
          <w:color w:val="0B0C0C"/>
          <w:sz w:val="22"/>
          <w:szCs w:val="22"/>
          <w:shd w:val="clear" w:color="auto" w:fill="FFFFFF"/>
        </w:rPr>
        <w:t xml:space="preserve"> </w:t>
      </w:r>
      <w:r w:rsidR="00626C1A" w:rsidRPr="000F5113">
        <w:rPr>
          <w:rFonts w:eastAsia="Times New Roman" w:cs="Times New Roman"/>
          <w:color w:val="0B0C0C"/>
          <w:sz w:val="22"/>
          <w:szCs w:val="22"/>
          <w:shd w:val="clear" w:color="auto" w:fill="FFFFFF"/>
        </w:rPr>
        <w:t>support</w:t>
      </w:r>
      <w:r w:rsidR="0046076B" w:rsidRPr="000F5113">
        <w:rPr>
          <w:rFonts w:eastAsia="Times New Roman" w:cs="Times New Roman"/>
          <w:color w:val="0B0C0C"/>
          <w:sz w:val="22"/>
          <w:szCs w:val="22"/>
          <w:shd w:val="clear" w:color="auto" w:fill="FFFFFF"/>
        </w:rPr>
        <w:t>s</w:t>
      </w:r>
      <w:r w:rsidR="00626C1A" w:rsidRPr="000F5113">
        <w:rPr>
          <w:rFonts w:eastAsia="Times New Roman" w:cs="Times New Roman"/>
          <w:color w:val="0B0C0C"/>
          <w:sz w:val="22"/>
          <w:szCs w:val="22"/>
          <w:shd w:val="clear" w:color="auto" w:fill="FFFFFF"/>
        </w:rPr>
        <w:t xml:space="preserve"> moves to widening access to </w:t>
      </w:r>
      <w:r w:rsidR="00D61E3C" w:rsidRPr="000F5113">
        <w:rPr>
          <w:rFonts w:eastAsia="Times New Roman" w:cs="Times New Roman"/>
          <w:color w:val="0B0C0C"/>
          <w:sz w:val="22"/>
          <w:szCs w:val="22"/>
          <w:shd w:val="clear" w:color="auto" w:fill="FFFFFF"/>
        </w:rPr>
        <w:t xml:space="preserve">personal </w:t>
      </w:r>
      <w:r w:rsidR="00626C1A" w:rsidRPr="000F5113">
        <w:rPr>
          <w:rFonts w:eastAsia="Times New Roman" w:cs="Times New Roman"/>
          <w:color w:val="0B0C0C"/>
          <w:sz w:val="22"/>
          <w:szCs w:val="22"/>
          <w:shd w:val="clear" w:color="auto" w:fill="FFFFFF"/>
        </w:rPr>
        <w:t xml:space="preserve">health data by </w:t>
      </w:r>
      <w:r w:rsidR="00D61E3C" w:rsidRPr="000F5113">
        <w:rPr>
          <w:rFonts w:eastAsia="Times New Roman" w:cs="Times New Roman"/>
          <w:color w:val="0B0C0C"/>
          <w:sz w:val="22"/>
          <w:szCs w:val="22"/>
          <w:shd w:val="clear" w:color="auto" w:fill="FFFFFF"/>
        </w:rPr>
        <w:t>‘professionalising’ t</w:t>
      </w:r>
      <w:r w:rsidR="0080086E" w:rsidRPr="000F5113">
        <w:rPr>
          <w:rFonts w:eastAsia="Times New Roman" w:cs="Times New Roman"/>
          <w:color w:val="0B0C0C"/>
          <w:sz w:val="22"/>
          <w:szCs w:val="22"/>
          <w:shd w:val="clear" w:color="auto" w:fill="FFFFFF"/>
        </w:rPr>
        <w:t xml:space="preserve">hose working in the digital, data and technology industry. </w:t>
      </w:r>
    </w:p>
    <w:p w14:paraId="0D9D67EA" w14:textId="77777777" w:rsidR="00825264" w:rsidRPr="000F5113" w:rsidRDefault="00825264" w:rsidP="000F004C">
      <w:pPr>
        <w:rPr>
          <w:rFonts w:eastAsia="Times New Roman" w:cs="Times New Roman"/>
          <w:color w:val="0B0C0C"/>
          <w:sz w:val="22"/>
          <w:szCs w:val="22"/>
          <w:shd w:val="clear" w:color="auto" w:fill="FFFFFF"/>
        </w:rPr>
      </w:pPr>
    </w:p>
    <w:p w14:paraId="1CC13F1C" w14:textId="4F4C1BAD" w:rsidR="000F004C" w:rsidRPr="000F5113" w:rsidRDefault="00F23D16" w:rsidP="000F004C">
      <w:pPr>
        <w:rPr>
          <w:rFonts w:eastAsia="Times New Roman" w:cs="Times New Roman"/>
          <w:color w:val="0B0C0C"/>
          <w:sz w:val="22"/>
          <w:szCs w:val="22"/>
          <w:shd w:val="clear" w:color="auto" w:fill="FFFFFF"/>
        </w:rPr>
      </w:pPr>
      <w:r w:rsidRPr="000F5113">
        <w:rPr>
          <w:rFonts w:eastAsia="Times New Roman" w:cs="Times New Roman"/>
          <w:color w:val="0B0C0C"/>
          <w:sz w:val="22"/>
          <w:szCs w:val="22"/>
          <w:shd w:val="clear" w:color="auto" w:fill="FFFFFF"/>
        </w:rPr>
        <w:t>C</w:t>
      </w:r>
      <w:r w:rsidR="000F004C" w:rsidRPr="000F5113">
        <w:rPr>
          <w:rFonts w:eastAsia="Times New Roman" w:cs="Times New Roman"/>
          <w:color w:val="0B0C0C"/>
          <w:sz w:val="22"/>
          <w:szCs w:val="22"/>
          <w:shd w:val="clear" w:color="auto" w:fill="FFFFFF"/>
        </w:rPr>
        <w:t xml:space="preserve">urrently, </w:t>
      </w:r>
      <w:r w:rsidRPr="000F5113">
        <w:rPr>
          <w:rFonts w:eastAsia="Times New Roman" w:cs="Times New Roman"/>
          <w:color w:val="0B0C0C"/>
          <w:sz w:val="22"/>
          <w:szCs w:val="22"/>
          <w:shd w:val="clear" w:color="auto" w:fill="FFFFFF"/>
        </w:rPr>
        <w:t>the Data Protection Act 2018 only permits the processing of special category data (e.g. personal health data) by (or under the responsibility of) a professional who is subject to an obligation of professional secrecy (Article 9 (3).  This could be a social worker or health p</w:t>
      </w:r>
      <w:r w:rsidR="00626C1A" w:rsidRPr="000F5113">
        <w:rPr>
          <w:rFonts w:eastAsia="Times New Roman" w:cs="Times New Roman"/>
          <w:color w:val="0B0C0C"/>
          <w:sz w:val="22"/>
          <w:szCs w:val="22"/>
          <w:shd w:val="clear" w:color="auto" w:fill="FFFFFF"/>
        </w:rPr>
        <w:t xml:space="preserve">rofessional (such as a doctor, </w:t>
      </w:r>
      <w:r w:rsidRPr="000F5113">
        <w:rPr>
          <w:rFonts w:eastAsia="Times New Roman" w:cs="Times New Roman"/>
          <w:color w:val="0B0C0C"/>
          <w:sz w:val="22"/>
          <w:szCs w:val="22"/>
          <w:shd w:val="clear" w:color="auto" w:fill="FFFFFF"/>
        </w:rPr>
        <w:t xml:space="preserve">nurse, dentist or clinical scientist). </w:t>
      </w:r>
      <w:r w:rsidR="00626C1A" w:rsidRPr="000F5113">
        <w:rPr>
          <w:rFonts w:eastAsia="Times New Roman" w:cs="Times New Roman"/>
          <w:color w:val="0B0C0C"/>
          <w:sz w:val="22"/>
          <w:szCs w:val="22"/>
          <w:shd w:val="clear" w:color="auto" w:fill="FFFFFF"/>
        </w:rPr>
        <w:t>Pr</w:t>
      </w:r>
      <w:r w:rsidRPr="000F5113">
        <w:rPr>
          <w:rFonts w:eastAsia="Times New Roman" w:cs="Times New Roman"/>
          <w:color w:val="0B0C0C"/>
          <w:sz w:val="22"/>
          <w:szCs w:val="22"/>
          <w:shd w:val="clear" w:color="auto" w:fill="FFFFFF"/>
        </w:rPr>
        <w:t xml:space="preserve">ocessing is also allowed by a person who, in the circumstances, owes a duty of confidentiality under an enactment or rule of law. </w:t>
      </w:r>
      <w:r w:rsidR="00A03CFF" w:rsidRPr="000F5113">
        <w:rPr>
          <w:rFonts w:eastAsia="Times New Roman" w:cs="Times New Roman"/>
          <w:color w:val="0B0C0C"/>
          <w:sz w:val="22"/>
          <w:szCs w:val="22"/>
          <w:shd w:val="clear" w:color="auto" w:fill="FFFFFF"/>
        </w:rPr>
        <w:t>The White</w:t>
      </w:r>
      <w:r w:rsidR="0046076B" w:rsidRPr="000F5113">
        <w:rPr>
          <w:rFonts w:eastAsia="Times New Roman" w:cs="Times New Roman"/>
          <w:color w:val="0B0C0C"/>
          <w:sz w:val="22"/>
          <w:szCs w:val="22"/>
          <w:shd w:val="clear" w:color="auto" w:fill="FFFFFF"/>
        </w:rPr>
        <w:t xml:space="preserve"> Paper gives no hint of how the</w:t>
      </w:r>
      <w:r w:rsidR="00A03CFF" w:rsidRPr="000F5113">
        <w:rPr>
          <w:rFonts w:eastAsia="Times New Roman" w:cs="Times New Roman"/>
          <w:color w:val="0B0C0C"/>
          <w:sz w:val="22"/>
          <w:szCs w:val="22"/>
          <w:shd w:val="clear" w:color="auto" w:fill="FFFFFF"/>
        </w:rPr>
        <w:t xml:space="preserve"> </w:t>
      </w:r>
      <w:r w:rsidR="00E33B1A" w:rsidRPr="000F5113">
        <w:rPr>
          <w:rFonts w:eastAsia="Times New Roman" w:cs="Times New Roman"/>
          <w:color w:val="0B0C0C"/>
          <w:sz w:val="22"/>
          <w:szCs w:val="22"/>
          <w:shd w:val="clear" w:color="auto" w:fill="FFFFFF"/>
        </w:rPr>
        <w:t>new ‘</w:t>
      </w:r>
      <w:r w:rsidR="00A03CFF" w:rsidRPr="000F5113">
        <w:rPr>
          <w:rFonts w:eastAsia="Times New Roman" w:cs="Times New Roman"/>
          <w:color w:val="0B0C0C"/>
          <w:sz w:val="22"/>
          <w:szCs w:val="22"/>
          <w:shd w:val="clear" w:color="auto" w:fill="FFFFFF"/>
        </w:rPr>
        <w:t>profession</w:t>
      </w:r>
      <w:r w:rsidR="00825264" w:rsidRPr="000F5113">
        <w:rPr>
          <w:rFonts w:eastAsia="Times New Roman" w:cs="Times New Roman"/>
          <w:color w:val="0B0C0C"/>
          <w:sz w:val="22"/>
          <w:szCs w:val="22"/>
          <w:shd w:val="clear" w:color="auto" w:fill="FFFFFF"/>
        </w:rPr>
        <w:t>/s</w:t>
      </w:r>
      <w:r w:rsidR="00E33B1A" w:rsidRPr="000F5113">
        <w:rPr>
          <w:rFonts w:eastAsia="Times New Roman" w:cs="Times New Roman"/>
          <w:color w:val="0B0C0C"/>
          <w:sz w:val="22"/>
          <w:szCs w:val="22"/>
          <w:shd w:val="clear" w:color="auto" w:fill="FFFFFF"/>
        </w:rPr>
        <w:t>’</w:t>
      </w:r>
      <w:r w:rsidR="00626C1A" w:rsidRPr="000F5113">
        <w:rPr>
          <w:rFonts w:eastAsia="Times New Roman" w:cs="Times New Roman"/>
          <w:color w:val="0B0C0C"/>
          <w:sz w:val="22"/>
          <w:szCs w:val="22"/>
          <w:shd w:val="clear" w:color="auto" w:fill="FFFFFF"/>
        </w:rPr>
        <w:t xml:space="preserve"> </w:t>
      </w:r>
      <w:r w:rsidR="0046076B" w:rsidRPr="000F5113">
        <w:rPr>
          <w:rFonts w:eastAsia="Times New Roman" w:cs="Times New Roman"/>
          <w:color w:val="0B0C0C"/>
          <w:sz w:val="22"/>
          <w:szCs w:val="22"/>
          <w:shd w:val="clear" w:color="auto" w:fill="FFFFFF"/>
        </w:rPr>
        <w:t xml:space="preserve">they envisage </w:t>
      </w:r>
      <w:r w:rsidR="00825264" w:rsidRPr="000F5113">
        <w:rPr>
          <w:rFonts w:eastAsia="Times New Roman" w:cs="Times New Roman"/>
          <w:color w:val="0B0C0C"/>
          <w:sz w:val="22"/>
          <w:szCs w:val="22"/>
          <w:shd w:val="clear" w:color="auto" w:fill="FFFFFF"/>
        </w:rPr>
        <w:t>will</w:t>
      </w:r>
      <w:r w:rsidR="00626C1A" w:rsidRPr="000F5113">
        <w:rPr>
          <w:rFonts w:eastAsia="Times New Roman" w:cs="Times New Roman"/>
          <w:color w:val="0B0C0C"/>
          <w:sz w:val="22"/>
          <w:szCs w:val="22"/>
          <w:shd w:val="clear" w:color="auto" w:fill="FFFFFF"/>
        </w:rPr>
        <w:t xml:space="preserve"> be regulated, </w:t>
      </w:r>
      <w:r w:rsidR="00A03CFF" w:rsidRPr="000F5113">
        <w:rPr>
          <w:rFonts w:eastAsia="Times New Roman" w:cs="Times New Roman"/>
          <w:color w:val="0B0C0C"/>
          <w:sz w:val="22"/>
          <w:szCs w:val="22"/>
          <w:shd w:val="clear" w:color="auto" w:fill="FFFFFF"/>
        </w:rPr>
        <w:t>what code of practice must be followed, who can claim membership, what qualifications are needed</w:t>
      </w:r>
      <w:r w:rsidR="00626C1A" w:rsidRPr="000F5113">
        <w:rPr>
          <w:rFonts w:eastAsia="Times New Roman" w:cs="Times New Roman"/>
          <w:color w:val="0B0C0C"/>
          <w:sz w:val="22"/>
          <w:szCs w:val="22"/>
          <w:shd w:val="clear" w:color="auto" w:fill="FFFFFF"/>
        </w:rPr>
        <w:t>, and whether they will owe a duty of confidentiality under law.</w:t>
      </w:r>
      <w:r w:rsidR="004E6047" w:rsidRPr="000F5113">
        <w:rPr>
          <w:rFonts w:eastAsia="Times New Roman" w:cs="Times New Roman"/>
          <w:color w:val="0B0C0C"/>
          <w:sz w:val="22"/>
          <w:szCs w:val="22"/>
          <w:shd w:val="clear" w:color="auto" w:fill="FFFFFF"/>
        </w:rPr>
        <w:t xml:space="preserve"> </w:t>
      </w:r>
    </w:p>
    <w:p w14:paraId="2A98B3E6" w14:textId="77777777" w:rsidR="00C54005" w:rsidRPr="000F5113" w:rsidRDefault="00C54005" w:rsidP="000F004C">
      <w:pPr>
        <w:rPr>
          <w:rFonts w:eastAsia="Times New Roman" w:cs="Times New Roman"/>
          <w:color w:val="0B0C0C"/>
          <w:sz w:val="22"/>
          <w:szCs w:val="22"/>
          <w:shd w:val="clear" w:color="auto" w:fill="FFFFFF"/>
        </w:rPr>
      </w:pPr>
    </w:p>
    <w:p w14:paraId="6C1BA34E" w14:textId="6D1E6F57" w:rsidR="00C54005" w:rsidRPr="000F5113" w:rsidRDefault="0080086E" w:rsidP="00C54005">
      <w:pPr>
        <w:rPr>
          <w:rFonts w:eastAsia="Times New Roman" w:cs="Times New Roman"/>
          <w:color w:val="0B0C0C"/>
          <w:sz w:val="22"/>
          <w:szCs w:val="22"/>
          <w:shd w:val="clear" w:color="auto" w:fill="FFFFFF"/>
        </w:rPr>
      </w:pPr>
      <w:r w:rsidRPr="000F5113">
        <w:rPr>
          <w:rFonts w:eastAsia="Times New Roman" w:cs="Times New Roman"/>
          <w:color w:val="0B0C0C"/>
          <w:sz w:val="22"/>
          <w:szCs w:val="22"/>
          <w:shd w:val="clear" w:color="auto" w:fill="FFFFFF"/>
        </w:rPr>
        <w:t>Significantly</w:t>
      </w:r>
      <w:r w:rsidR="00825264" w:rsidRPr="000F5113">
        <w:rPr>
          <w:rFonts w:eastAsia="Times New Roman" w:cs="Times New Roman"/>
          <w:color w:val="0B0C0C"/>
          <w:sz w:val="22"/>
          <w:szCs w:val="22"/>
          <w:shd w:val="clear" w:color="auto" w:fill="FFFFFF"/>
        </w:rPr>
        <w:t xml:space="preserve">, the White Paper promises </w:t>
      </w:r>
      <w:r w:rsidR="00C54005" w:rsidRPr="000F5113">
        <w:rPr>
          <w:rFonts w:eastAsia="Times New Roman" w:cs="Times New Roman"/>
          <w:color w:val="0B0C0C"/>
          <w:sz w:val="22"/>
          <w:szCs w:val="22"/>
          <w:shd w:val="clear" w:color="auto" w:fill="FFFFFF"/>
        </w:rPr>
        <w:t xml:space="preserve">”We will support digital transformation by formally recognising the digital, data and technology profession within the NHS Agenda for Change.” </w:t>
      </w:r>
    </w:p>
    <w:p w14:paraId="07970518" w14:textId="77777777" w:rsidR="000F004C" w:rsidRPr="000F5113" w:rsidRDefault="000F004C" w:rsidP="009E693A">
      <w:pPr>
        <w:rPr>
          <w:rFonts w:cs="Times New Roman"/>
          <w:sz w:val="22"/>
          <w:szCs w:val="22"/>
        </w:rPr>
      </w:pPr>
    </w:p>
    <w:p w14:paraId="50A4DA2E" w14:textId="29A1A634" w:rsidR="000F004C" w:rsidRPr="000F5113" w:rsidRDefault="00D61E3C" w:rsidP="000F004C">
      <w:pPr>
        <w:rPr>
          <w:rFonts w:eastAsia="Times New Roman" w:cs="Times New Roman"/>
          <w:color w:val="0B0C0C"/>
          <w:sz w:val="22"/>
          <w:szCs w:val="22"/>
          <w:shd w:val="clear" w:color="auto" w:fill="FFFFFF"/>
        </w:rPr>
      </w:pPr>
      <w:r w:rsidRPr="000F5113">
        <w:rPr>
          <w:rFonts w:eastAsia="Times New Roman" w:cs="Times New Roman"/>
          <w:color w:val="0B0C0C"/>
          <w:sz w:val="22"/>
          <w:szCs w:val="22"/>
          <w:shd w:val="clear" w:color="auto" w:fill="FFFFFF"/>
        </w:rPr>
        <w:t>According to the White Paper,</w:t>
      </w:r>
    </w:p>
    <w:p w14:paraId="1D3652B6" w14:textId="638A932E" w:rsidR="00526A46" w:rsidRPr="000F5113" w:rsidRDefault="00777119" w:rsidP="00526A46">
      <w:pPr>
        <w:ind w:left="720"/>
        <w:rPr>
          <w:rFonts w:eastAsia="Times New Roman" w:cs="Times New Roman"/>
          <w:sz w:val="22"/>
          <w:szCs w:val="22"/>
        </w:rPr>
      </w:pPr>
      <w:r w:rsidRPr="000F5113">
        <w:rPr>
          <w:rFonts w:eastAsia="Times New Roman" w:cs="Times New Roman"/>
          <w:color w:val="0B0C0C"/>
          <w:sz w:val="22"/>
          <w:szCs w:val="22"/>
          <w:shd w:val="clear" w:color="auto" w:fill="FFFFFF"/>
        </w:rPr>
        <w:t>“</w:t>
      </w:r>
      <w:r w:rsidR="00526A46" w:rsidRPr="000F5113">
        <w:rPr>
          <w:rFonts w:eastAsia="Times New Roman" w:cs="Times New Roman"/>
          <w:color w:val="0B0C0C"/>
          <w:sz w:val="22"/>
          <w:szCs w:val="22"/>
          <w:shd w:val="clear" w:color="auto" w:fill="FFFFFF"/>
        </w:rPr>
        <w:t xml:space="preserve">NHSX has supported Health Education England to build the next cadre of digital leaders through the NHS Digital Academy. We are addressing the specialist tech skills gap through </w:t>
      </w:r>
      <w:r w:rsidR="00526A46" w:rsidRPr="000F5113">
        <w:rPr>
          <w:rFonts w:eastAsia="Times New Roman" w:cs="Times New Roman"/>
          <w:i/>
          <w:color w:val="0B0C0C"/>
          <w:sz w:val="22"/>
          <w:szCs w:val="22"/>
          <w:shd w:val="clear" w:color="auto" w:fill="FFFFFF"/>
        </w:rPr>
        <w:t>professionalising the digital profession</w:t>
      </w:r>
      <w:r w:rsidR="00526A46" w:rsidRPr="000F5113">
        <w:rPr>
          <w:rFonts w:eastAsia="Times New Roman" w:cs="Times New Roman"/>
          <w:color w:val="0B0C0C"/>
          <w:sz w:val="22"/>
          <w:szCs w:val="22"/>
          <w:shd w:val="clear" w:color="auto" w:fill="FFFFFF"/>
        </w:rPr>
        <w:t>, bringing in talented tech graduates, increasing the number of apprenticeships offered and harnessing talented entrepreneurial and analytical clinicians through the Clinical Entrepre</w:t>
      </w:r>
      <w:r w:rsidR="005812B6" w:rsidRPr="000F5113">
        <w:rPr>
          <w:rFonts w:eastAsia="Times New Roman" w:cs="Times New Roman"/>
          <w:color w:val="0B0C0C"/>
          <w:sz w:val="22"/>
          <w:szCs w:val="22"/>
          <w:shd w:val="clear" w:color="auto" w:fill="FFFFFF"/>
        </w:rPr>
        <w:t>neur scheme and new fellowships</w:t>
      </w:r>
      <w:r w:rsidRPr="000F5113">
        <w:rPr>
          <w:rFonts w:eastAsia="Times New Roman" w:cs="Times New Roman"/>
          <w:color w:val="0B0C0C"/>
          <w:sz w:val="22"/>
          <w:szCs w:val="22"/>
          <w:shd w:val="clear" w:color="auto" w:fill="FFFFFF"/>
        </w:rPr>
        <w:t>”</w:t>
      </w:r>
      <w:r w:rsidR="0080086E" w:rsidRPr="000F5113">
        <w:rPr>
          <w:rFonts w:eastAsia="Times New Roman" w:cs="Times New Roman"/>
          <w:color w:val="0B0C0C"/>
          <w:sz w:val="22"/>
          <w:szCs w:val="22"/>
          <w:shd w:val="clear" w:color="auto" w:fill="FFFFFF"/>
        </w:rPr>
        <w:t xml:space="preserve"> (our emphasis)</w:t>
      </w:r>
      <w:r w:rsidR="005812B6" w:rsidRPr="000F5113">
        <w:rPr>
          <w:rFonts w:eastAsia="Times New Roman" w:cs="Times New Roman"/>
          <w:color w:val="0B0C0C"/>
          <w:sz w:val="22"/>
          <w:szCs w:val="22"/>
          <w:shd w:val="clear" w:color="auto" w:fill="FFFFFF"/>
        </w:rPr>
        <w:t>.</w:t>
      </w:r>
    </w:p>
    <w:p w14:paraId="03107F45" w14:textId="77777777" w:rsidR="00D31E54" w:rsidRPr="000F5113" w:rsidRDefault="00D31E54" w:rsidP="000F2175">
      <w:pPr>
        <w:rPr>
          <w:rFonts w:cs="Times New Roman"/>
          <w:sz w:val="22"/>
          <w:szCs w:val="22"/>
        </w:rPr>
      </w:pPr>
    </w:p>
    <w:p w14:paraId="44DDDDBE" w14:textId="77777777" w:rsidR="00D31E54" w:rsidRPr="000F5113" w:rsidRDefault="00D31E54" w:rsidP="000F2175">
      <w:pPr>
        <w:rPr>
          <w:rFonts w:cs="Times New Roman"/>
          <w:sz w:val="22"/>
          <w:szCs w:val="22"/>
        </w:rPr>
      </w:pPr>
      <w:r w:rsidRPr="000F5113">
        <w:rPr>
          <w:rFonts w:cs="Times New Roman"/>
          <w:sz w:val="22"/>
          <w:szCs w:val="22"/>
        </w:rPr>
        <w:t xml:space="preserve">It goes on to mention </w:t>
      </w:r>
      <w:r w:rsidR="000F2175" w:rsidRPr="000F5113">
        <w:rPr>
          <w:rFonts w:cs="Times New Roman"/>
          <w:sz w:val="22"/>
          <w:szCs w:val="22"/>
        </w:rPr>
        <w:t>the creation of AnalystX by NHSE and NHSX</w:t>
      </w:r>
      <w:r w:rsidRPr="000F5113">
        <w:rPr>
          <w:rFonts w:cs="Times New Roman"/>
          <w:sz w:val="22"/>
          <w:szCs w:val="22"/>
        </w:rPr>
        <w:t xml:space="preserve">, described as </w:t>
      </w:r>
    </w:p>
    <w:p w14:paraId="2F221860" w14:textId="6DAB1CE5" w:rsidR="00D31E54" w:rsidRPr="000F5113" w:rsidRDefault="00D31E54" w:rsidP="00D31E54">
      <w:pPr>
        <w:ind w:left="720"/>
        <w:rPr>
          <w:rFonts w:cs="Times New Roman"/>
          <w:sz w:val="22"/>
          <w:szCs w:val="22"/>
        </w:rPr>
      </w:pPr>
      <w:r w:rsidRPr="000F5113">
        <w:rPr>
          <w:rFonts w:cs="Times New Roman"/>
          <w:sz w:val="22"/>
          <w:szCs w:val="22"/>
        </w:rPr>
        <w:t>“fundamental to the future professionalization agenda for data and analytics and building the necessary capacity and capability within the system to realise the ambiti</w:t>
      </w:r>
      <w:r w:rsidR="002465D9" w:rsidRPr="000F5113">
        <w:rPr>
          <w:rFonts w:cs="Times New Roman"/>
          <w:sz w:val="22"/>
          <w:szCs w:val="22"/>
        </w:rPr>
        <w:t>ons of the 2021 data strategy.</w:t>
      </w:r>
      <w:r w:rsidR="00777119" w:rsidRPr="000F5113">
        <w:rPr>
          <w:rFonts w:cs="Times New Roman"/>
          <w:sz w:val="22"/>
          <w:szCs w:val="22"/>
        </w:rPr>
        <w:t>”</w:t>
      </w:r>
    </w:p>
    <w:p w14:paraId="30F13D97" w14:textId="77777777" w:rsidR="00D31E54" w:rsidRPr="000F5113" w:rsidRDefault="00D31E54" w:rsidP="000F2175">
      <w:pPr>
        <w:rPr>
          <w:rFonts w:cs="Times New Roman"/>
          <w:sz w:val="22"/>
          <w:szCs w:val="22"/>
        </w:rPr>
      </w:pPr>
    </w:p>
    <w:p w14:paraId="38C12837" w14:textId="0F234A15" w:rsidR="000F2175" w:rsidRPr="000F5113" w:rsidRDefault="000F2175" w:rsidP="000F2175">
      <w:pPr>
        <w:rPr>
          <w:rFonts w:cs="Times New Roman"/>
          <w:sz w:val="22"/>
          <w:szCs w:val="22"/>
        </w:rPr>
      </w:pPr>
      <w:r w:rsidRPr="000F5113">
        <w:rPr>
          <w:rFonts w:cs="Times New Roman"/>
          <w:sz w:val="22"/>
          <w:szCs w:val="22"/>
        </w:rPr>
        <w:t xml:space="preserve"> AnalystX is a 16</w:t>
      </w:r>
      <w:r w:rsidR="00D31E54" w:rsidRPr="000F5113">
        <w:rPr>
          <w:rFonts w:cs="Times New Roman"/>
          <w:sz w:val="22"/>
          <w:szCs w:val="22"/>
        </w:rPr>
        <w:t>,000-</w:t>
      </w:r>
      <w:r w:rsidRPr="000F5113">
        <w:rPr>
          <w:rFonts w:cs="Times New Roman"/>
          <w:sz w:val="22"/>
          <w:szCs w:val="22"/>
        </w:rPr>
        <w:t>strong</w:t>
      </w:r>
      <w:r w:rsidR="00D31E54" w:rsidRPr="000F5113">
        <w:rPr>
          <w:rFonts w:cs="Times New Roman"/>
          <w:sz w:val="22"/>
          <w:szCs w:val="22"/>
        </w:rPr>
        <w:t>,</w:t>
      </w:r>
      <w:r w:rsidRPr="000F5113">
        <w:rPr>
          <w:rFonts w:cs="Times New Roman"/>
          <w:sz w:val="22"/>
          <w:szCs w:val="22"/>
        </w:rPr>
        <w:t xml:space="preserve"> on-line community of practice for ‘data professionals and analysts’ to share knowledge and support “the development of analytical skills for transformation”. </w:t>
      </w:r>
      <w:r w:rsidR="00A03CFF" w:rsidRPr="000F5113">
        <w:rPr>
          <w:rFonts w:cs="Times New Roman"/>
          <w:sz w:val="22"/>
          <w:szCs w:val="22"/>
        </w:rPr>
        <w:t xml:space="preserve">It was </w:t>
      </w:r>
      <w:r w:rsidR="00F5112F" w:rsidRPr="000F5113">
        <w:rPr>
          <w:rFonts w:cs="Times New Roman"/>
          <w:sz w:val="22"/>
          <w:szCs w:val="22"/>
        </w:rPr>
        <w:t xml:space="preserve">originally intended as an internal forum for analysts working at NHSE but </w:t>
      </w:r>
      <w:r w:rsidR="0046076B" w:rsidRPr="000F5113">
        <w:rPr>
          <w:rFonts w:cs="Times New Roman"/>
          <w:sz w:val="22"/>
          <w:szCs w:val="22"/>
        </w:rPr>
        <w:t xml:space="preserve">is </w:t>
      </w:r>
      <w:r w:rsidR="00F5112F" w:rsidRPr="000F5113">
        <w:rPr>
          <w:rFonts w:cs="Times New Roman"/>
          <w:sz w:val="22"/>
          <w:szCs w:val="22"/>
        </w:rPr>
        <w:t>now open to analysts wi</w:t>
      </w:r>
      <w:r w:rsidR="00A03CFF" w:rsidRPr="000F5113">
        <w:rPr>
          <w:rFonts w:cs="Times New Roman"/>
          <w:sz w:val="22"/>
          <w:szCs w:val="22"/>
        </w:rPr>
        <w:t xml:space="preserve">th an interest in these fields. </w:t>
      </w:r>
      <w:r w:rsidR="002465D9" w:rsidRPr="000F5113">
        <w:rPr>
          <w:rFonts w:eastAsia="Times New Roman" w:cs="Times New Roman"/>
          <w:sz w:val="22"/>
          <w:szCs w:val="22"/>
          <w:shd w:val="clear" w:color="auto" w:fill="FFFFFF"/>
        </w:rPr>
        <w:t>Among AnalystX’s</w:t>
      </w:r>
      <w:r w:rsidR="00F5112F" w:rsidRPr="000F5113">
        <w:rPr>
          <w:rFonts w:eastAsia="Times New Roman" w:cs="Times New Roman"/>
          <w:sz w:val="22"/>
          <w:szCs w:val="22"/>
          <w:shd w:val="clear" w:color="auto" w:fill="FFFFFF"/>
        </w:rPr>
        <w:t xml:space="preserve"> core set of values, </w:t>
      </w:r>
      <w:r w:rsidR="008C2D33" w:rsidRPr="000F5113">
        <w:rPr>
          <w:rFonts w:cs="Times New Roman"/>
          <w:sz w:val="22"/>
          <w:szCs w:val="22"/>
        </w:rPr>
        <w:t xml:space="preserve">said to be </w:t>
      </w:r>
      <w:r w:rsidRPr="000F5113">
        <w:rPr>
          <w:rFonts w:cs="Times New Roman"/>
          <w:sz w:val="22"/>
          <w:szCs w:val="22"/>
        </w:rPr>
        <w:t>fundamental to all of its shared activities</w:t>
      </w:r>
      <w:r w:rsidR="008C2D33" w:rsidRPr="000F5113">
        <w:rPr>
          <w:rFonts w:cs="Times New Roman"/>
          <w:sz w:val="22"/>
          <w:szCs w:val="22"/>
        </w:rPr>
        <w:t>,</w:t>
      </w:r>
      <w:r w:rsidRPr="000F5113">
        <w:rPr>
          <w:rFonts w:cs="Times New Roman"/>
          <w:sz w:val="22"/>
          <w:szCs w:val="22"/>
        </w:rPr>
        <w:t xml:space="preserve"> </w:t>
      </w:r>
      <w:r w:rsidR="00F5112F" w:rsidRPr="000F5113">
        <w:rPr>
          <w:rFonts w:cs="Times New Roman"/>
          <w:sz w:val="22"/>
          <w:szCs w:val="22"/>
        </w:rPr>
        <w:t xml:space="preserve">is </w:t>
      </w:r>
      <w:r w:rsidRPr="000F5113">
        <w:rPr>
          <w:rFonts w:cs="Times New Roman"/>
          <w:sz w:val="22"/>
          <w:szCs w:val="22"/>
        </w:rPr>
        <w:t>‘Innovat</w:t>
      </w:r>
      <w:r w:rsidR="00D31E54" w:rsidRPr="000F5113">
        <w:rPr>
          <w:rFonts w:cs="Times New Roman"/>
          <w:sz w:val="22"/>
          <w:szCs w:val="22"/>
        </w:rPr>
        <w:t>ive’</w:t>
      </w:r>
      <w:r w:rsidR="00F5112F" w:rsidRPr="000F5113">
        <w:rPr>
          <w:rFonts w:cs="Times New Roman"/>
          <w:sz w:val="22"/>
          <w:szCs w:val="22"/>
        </w:rPr>
        <w:t xml:space="preserve"> (sic)</w:t>
      </w:r>
      <w:r w:rsidR="00D31E54" w:rsidRPr="000F5113">
        <w:rPr>
          <w:rFonts w:cs="Times New Roman"/>
          <w:sz w:val="22"/>
          <w:szCs w:val="22"/>
        </w:rPr>
        <w:t xml:space="preserve">, </w:t>
      </w:r>
      <w:r w:rsidR="008C2D33" w:rsidRPr="000F5113">
        <w:rPr>
          <w:rFonts w:cs="Times New Roman"/>
          <w:sz w:val="22"/>
          <w:szCs w:val="22"/>
        </w:rPr>
        <w:t>explained</w:t>
      </w:r>
      <w:r w:rsidRPr="000F5113">
        <w:rPr>
          <w:rFonts w:cs="Times New Roman"/>
          <w:sz w:val="22"/>
          <w:szCs w:val="22"/>
        </w:rPr>
        <w:t xml:space="preserve"> as </w:t>
      </w:r>
    </w:p>
    <w:p w14:paraId="63867847" w14:textId="7B7AF921" w:rsidR="000F2175" w:rsidRPr="000F5113" w:rsidRDefault="00777119" w:rsidP="000F2175">
      <w:pPr>
        <w:ind w:left="720"/>
        <w:rPr>
          <w:rFonts w:eastAsia="Times New Roman" w:cs="Times New Roman"/>
          <w:color w:val="000000"/>
          <w:sz w:val="22"/>
          <w:szCs w:val="22"/>
          <w:shd w:val="clear" w:color="auto" w:fill="FFFFFF"/>
          <w:vertAlign w:val="superscript"/>
        </w:rPr>
      </w:pPr>
      <w:r w:rsidRPr="000F5113">
        <w:rPr>
          <w:rFonts w:eastAsia="Times New Roman" w:cs="Times New Roman"/>
          <w:color w:val="000000"/>
          <w:sz w:val="22"/>
          <w:szCs w:val="22"/>
          <w:shd w:val="clear" w:color="auto" w:fill="FFFFFF"/>
        </w:rPr>
        <w:lastRenderedPageBreak/>
        <w:t>“</w:t>
      </w:r>
      <w:r w:rsidR="000F2175" w:rsidRPr="000F5113">
        <w:rPr>
          <w:rFonts w:eastAsia="Times New Roman" w:cs="Times New Roman"/>
          <w:color w:val="000000"/>
          <w:sz w:val="22"/>
          <w:szCs w:val="22"/>
          <w:shd w:val="clear" w:color="auto" w:fill="FFFFFF"/>
        </w:rPr>
        <w:t>A rich</w:t>
      </w:r>
      <w:r w:rsidR="000F2175" w:rsidRPr="000F5113">
        <w:rPr>
          <w:rStyle w:val="apple-converted-space"/>
          <w:rFonts w:eastAsia="Times New Roman" w:cs="Times New Roman"/>
          <w:color w:val="000000"/>
          <w:sz w:val="22"/>
          <w:szCs w:val="22"/>
          <w:shd w:val="clear" w:color="auto" w:fill="FFFFFF"/>
        </w:rPr>
        <w:t> </w:t>
      </w:r>
      <w:hyperlink r:id="rId8" w:history="1">
        <w:r w:rsidR="000F2175" w:rsidRPr="000F5113">
          <w:rPr>
            <w:rStyle w:val="Hyperlink"/>
            <w:rFonts w:eastAsia="Times New Roman" w:cs="Times New Roman"/>
            <w:color w:val="auto"/>
            <w:sz w:val="22"/>
            <w:szCs w:val="22"/>
            <w:u w:val="none"/>
          </w:rPr>
          <w:t>Strategic Partners</w:t>
        </w:r>
      </w:hyperlink>
      <w:r w:rsidR="000F2175" w:rsidRPr="000F5113">
        <w:rPr>
          <w:rStyle w:val="apple-converted-space"/>
          <w:rFonts w:eastAsia="Times New Roman" w:cs="Times New Roman"/>
          <w:color w:val="000000"/>
          <w:sz w:val="22"/>
          <w:szCs w:val="22"/>
          <w:shd w:val="clear" w:color="auto" w:fill="FFFFFF"/>
        </w:rPr>
        <w:t> </w:t>
      </w:r>
      <w:r w:rsidR="000F2175" w:rsidRPr="000F5113">
        <w:rPr>
          <w:rFonts w:eastAsia="Times New Roman" w:cs="Times New Roman"/>
          <w:color w:val="000000"/>
          <w:sz w:val="22"/>
          <w:szCs w:val="22"/>
          <w:shd w:val="clear" w:color="auto" w:fill="FFFFFF"/>
        </w:rPr>
        <w:t>programme currently with 34 partners including organisations like AWS, Microsoft, Google, techUK and AphA that support the development of new community content and initiatives</w:t>
      </w:r>
      <w:r w:rsidR="00A03CFF" w:rsidRPr="000F5113">
        <w:rPr>
          <w:rFonts w:eastAsia="Times New Roman" w:cs="Times New Roman"/>
          <w:color w:val="000000"/>
          <w:sz w:val="22"/>
          <w:szCs w:val="22"/>
          <w:shd w:val="clear" w:color="auto" w:fill="FFFFFF"/>
        </w:rPr>
        <w:t>.</w:t>
      </w:r>
      <w:r w:rsidRPr="000F5113">
        <w:rPr>
          <w:rFonts w:eastAsia="Times New Roman" w:cs="Times New Roman"/>
          <w:color w:val="000000"/>
          <w:sz w:val="22"/>
          <w:szCs w:val="22"/>
          <w:shd w:val="clear" w:color="auto" w:fill="FFFFFF"/>
        </w:rPr>
        <w:t>”</w:t>
      </w:r>
      <w:r w:rsidRPr="000F5113">
        <w:rPr>
          <w:rStyle w:val="FootnoteReference"/>
          <w:rFonts w:eastAsia="Times New Roman" w:cs="Times New Roman"/>
          <w:color w:val="000000"/>
          <w:sz w:val="22"/>
          <w:szCs w:val="22"/>
          <w:shd w:val="clear" w:color="auto" w:fill="FFFFFF"/>
        </w:rPr>
        <w:footnoteReference w:id="5"/>
      </w:r>
      <w:r w:rsidR="00A80796" w:rsidRPr="000F5113">
        <w:rPr>
          <w:rFonts w:eastAsia="Times New Roman" w:cs="Times New Roman"/>
          <w:color w:val="000000"/>
          <w:sz w:val="22"/>
          <w:szCs w:val="22"/>
          <w:shd w:val="clear" w:color="auto" w:fill="FFFFFF"/>
        </w:rPr>
        <w:t xml:space="preserve"> </w:t>
      </w:r>
    </w:p>
    <w:p w14:paraId="3F4B284C" w14:textId="686F4B1B" w:rsidR="004E6047" w:rsidRPr="000F5113" w:rsidRDefault="004E6047" w:rsidP="000F2175">
      <w:pPr>
        <w:rPr>
          <w:rFonts w:eastAsia="Times New Roman" w:cs="Times New Roman"/>
          <w:sz w:val="22"/>
          <w:szCs w:val="22"/>
        </w:rPr>
      </w:pPr>
    </w:p>
    <w:p w14:paraId="656F7204" w14:textId="23C7D8F3" w:rsidR="00FB60E2" w:rsidRPr="000F5113" w:rsidRDefault="00D61E3C">
      <w:pPr>
        <w:rPr>
          <w:rFonts w:cs="Times New Roman"/>
          <w:sz w:val="22"/>
          <w:szCs w:val="22"/>
        </w:rPr>
      </w:pPr>
      <w:r w:rsidRPr="000F5113">
        <w:rPr>
          <w:rFonts w:cs="Times New Roman"/>
          <w:sz w:val="22"/>
          <w:szCs w:val="22"/>
        </w:rPr>
        <w:t xml:space="preserve">We are concerned that widening access to sensitive category data by attributing professional status to employees of the digital, data and technology industries without </w:t>
      </w:r>
      <w:r w:rsidR="001B38C0" w:rsidRPr="000F5113">
        <w:rPr>
          <w:rFonts w:cs="Times New Roman"/>
          <w:sz w:val="22"/>
          <w:szCs w:val="22"/>
        </w:rPr>
        <w:t xml:space="preserve">safeguards or </w:t>
      </w:r>
      <w:r w:rsidRPr="000F5113">
        <w:rPr>
          <w:rFonts w:cs="Times New Roman"/>
          <w:sz w:val="22"/>
          <w:szCs w:val="22"/>
        </w:rPr>
        <w:t>the regulations governing a profession is both unsafe for patients and further embeds the private sector within the NHS</w:t>
      </w:r>
      <w:r w:rsidR="001B38C0" w:rsidRPr="000F5113">
        <w:rPr>
          <w:rFonts w:cs="Times New Roman"/>
          <w:sz w:val="22"/>
          <w:szCs w:val="22"/>
        </w:rPr>
        <w:t>.</w:t>
      </w:r>
    </w:p>
    <w:p w14:paraId="1E07B24E" w14:textId="77777777" w:rsidR="0084111D" w:rsidRPr="000F5113" w:rsidRDefault="0084111D">
      <w:pPr>
        <w:rPr>
          <w:rFonts w:cs="Times New Roman"/>
          <w:sz w:val="22"/>
          <w:szCs w:val="22"/>
        </w:rPr>
      </w:pPr>
    </w:p>
    <w:p w14:paraId="225CB42B" w14:textId="77777777" w:rsidR="0084111D" w:rsidRPr="000F5113" w:rsidRDefault="0084111D">
      <w:pPr>
        <w:rPr>
          <w:rFonts w:cs="Times New Roman"/>
          <w:sz w:val="22"/>
          <w:szCs w:val="22"/>
        </w:rPr>
      </w:pPr>
    </w:p>
    <w:p w14:paraId="59789370" w14:textId="77777777" w:rsidR="0084111D" w:rsidRPr="000F5113" w:rsidRDefault="0084111D">
      <w:pPr>
        <w:rPr>
          <w:rFonts w:cs="Times New Roman"/>
          <w:sz w:val="22"/>
          <w:szCs w:val="22"/>
        </w:rPr>
      </w:pPr>
    </w:p>
    <w:p w14:paraId="4AFA5244" w14:textId="4269E6FF" w:rsidR="00A80796" w:rsidRPr="000F5113" w:rsidRDefault="001B38C0">
      <w:pPr>
        <w:rPr>
          <w:rFonts w:cs="Times New Roman"/>
          <w:sz w:val="22"/>
          <w:szCs w:val="22"/>
        </w:rPr>
      </w:pPr>
      <w:r w:rsidRPr="000F5113">
        <w:rPr>
          <w:rFonts w:cs="Times New Roman"/>
          <w:sz w:val="22"/>
          <w:szCs w:val="22"/>
        </w:rPr>
        <w:t>KONP ICS Working Group</w:t>
      </w:r>
    </w:p>
    <w:p w14:paraId="73CF9927" w14:textId="308DF826" w:rsidR="001B38C0" w:rsidRPr="000F5113" w:rsidRDefault="001B38C0">
      <w:pPr>
        <w:rPr>
          <w:rFonts w:cs="Times New Roman"/>
          <w:sz w:val="22"/>
          <w:szCs w:val="22"/>
        </w:rPr>
      </w:pPr>
      <w:r w:rsidRPr="000F5113">
        <w:rPr>
          <w:rFonts w:cs="Times New Roman"/>
          <w:sz w:val="22"/>
          <w:szCs w:val="22"/>
        </w:rPr>
        <w:t>March 2022</w:t>
      </w:r>
    </w:p>
    <w:p w14:paraId="791B6B85" w14:textId="2BF8D89C" w:rsidR="00A80796" w:rsidRPr="000F5113" w:rsidRDefault="00A80796">
      <w:pPr>
        <w:rPr>
          <w:rFonts w:cs="Times New Roman"/>
          <w:b/>
          <w:sz w:val="22"/>
          <w:szCs w:val="22"/>
        </w:rPr>
      </w:pPr>
    </w:p>
    <w:p w14:paraId="049AA5ED" w14:textId="3BDC32FD" w:rsidR="00A80796" w:rsidRPr="000F5113" w:rsidRDefault="00A80796">
      <w:pPr>
        <w:rPr>
          <w:rFonts w:cs="Times New Roman"/>
          <w:b/>
          <w:sz w:val="22"/>
          <w:szCs w:val="22"/>
        </w:rPr>
      </w:pPr>
    </w:p>
    <w:p w14:paraId="099CEF1A" w14:textId="648D6E18" w:rsidR="00A80796" w:rsidRPr="000F5113" w:rsidRDefault="00A80796">
      <w:pPr>
        <w:rPr>
          <w:rFonts w:cs="Times New Roman"/>
          <w:b/>
          <w:sz w:val="22"/>
          <w:szCs w:val="22"/>
        </w:rPr>
      </w:pPr>
    </w:p>
    <w:p w14:paraId="20C56AA8" w14:textId="50998400" w:rsidR="00A80796" w:rsidRPr="000F5113" w:rsidRDefault="00A80796">
      <w:pPr>
        <w:rPr>
          <w:rFonts w:cs="Times New Roman"/>
          <w:b/>
          <w:sz w:val="22"/>
          <w:szCs w:val="22"/>
        </w:rPr>
      </w:pPr>
    </w:p>
    <w:p w14:paraId="2C69CD17" w14:textId="71EDC411" w:rsidR="00A80796" w:rsidRPr="000F5113" w:rsidRDefault="00A80796">
      <w:pPr>
        <w:rPr>
          <w:rFonts w:cs="Times New Roman"/>
          <w:b/>
          <w:sz w:val="22"/>
          <w:szCs w:val="22"/>
        </w:rPr>
      </w:pPr>
    </w:p>
    <w:p w14:paraId="4987C2C7" w14:textId="784816D8" w:rsidR="00A80796" w:rsidRPr="000F5113" w:rsidRDefault="00A80796">
      <w:pPr>
        <w:rPr>
          <w:rFonts w:cs="Times New Roman"/>
          <w:b/>
          <w:sz w:val="22"/>
          <w:szCs w:val="22"/>
        </w:rPr>
      </w:pPr>
    </w:p>
    <w:p w14:paraId="00A15269" w14:textId="47E33606" w:rsidR="00A80796" w:rsidRPr="000F5113" w:rsidRDefault="00A80796">
      <w:pPr>
        <w:rPr>
          <w:rFonts w:cs="Times New Roman"/>
          <w:b/>
          <w:sz w:val="22"/>
          <w:szCs w:val="22"/>
        </w:rPr>
      </w:pPr>
    </w:p>
    <w:p w14:paraId="729C60A4" w14:textId="74345E6C" w:rsidR="00A80796" w:rsidRPr="000F5113" w:rsidRDefault="00A80796">
      <w:pPr>
        <w:rPr>
          <w:rFonts w:cs="Times New Roman"/>
          <w:b/>
          <w:sz w:val="22"/>
          <w:szCs w:val="22"/>
        </w:rPr>
      </w:pPr>
    </w:p>
    <w:p w14:paraId="18175657" w14:textId="5257F9E2" w:rsidR="00A80796" w:rsidRPr="000F5113" w:rsidRDefault="00A80796">
      <w:pPr>
        <w:rPr>
          <w:rFonts w:cs="Times New Roman"/>
          <w:b/>
          <w:sz w:val="22"/>
          <w:szCs w:val="22"/>
        </w:rPr>
      </w:pPr>
    </w:p>
    <w:p w14:paraId="141A285F" w14:textId="4A8B931C" w:rsidR="00A80796" w:rsidRPr="000F5113" w:rsidRDefault="00A80796">
      <w:pPr>
        <w:rPr>
          <w:rFonts w:cs="Times New Roman"/>
          <w:b/>
          <w:sz w:val="22"/>
          <w:szCs w:val="22"/>
        </w:rPr>
      </w:pPr>
    </w:p>
    <w:p w14:paraId="679787C4" w14:textId="3B4047F0" w:rsidR="00A80796" w:rsidRPr="000F5113" w:rsidRDefault="00A80796">
      <w:pPr>
        <w:rPr>
          <w:rFonts w:cs="Times New Roman"/>
          <w:b/>
          <w:sz w:val="22"/>
          <w:szCs w:val="22"/>
        </w:rPr>
      </w:pPr>
    </w:p>
    <w:p w14:paraId="2C14A4F2" w14:textId="2F089AD4" w:rsidR="00A80796" w:rsidRPr="000F5113" w:rsidRDefault="00A80796">
      <w:pPr>
        <w:rPr>
          <w:rFonts w:cs="Times New Roman"/>
          <w:b/>
          <w:sz w:val="22"/>
          <w:szCs w:val="22"/>
        </w:rPr>
      </w:pPr>
    </w:p>
    <w:p w14:paraId="7828725B" w14:textId="42B807DE" w:rsidR="00A80796" w:rsidRPr="000F5113" w:rsidRDefault="00A80796">
      <w:pPr>
        <w:rPr>
          <w:rFonts w:cs="Times New Roman"/>
          <w:b/>
          <w:sz w:val="22"/>
          <w:szCs w:val="22"/>
        </w:rPr>
      </w:pPr>
    </w:p>
    <w:p w14:paraId="29129E66" w14:textId="4A538539" w:rsidR="00A80796" w:rsidRPr="000F5113" w:rsidRDefault="00A80796">
      <w:pPr>
        <w:rPr>
          <w:rFonts w:cs="Times New Roman"/>
          <w:b/>
          <w:sz w:val="22"/>
          <w:szCs w:val="22"/>
        </w:rPr>
      </w:pPr>
    </w:p>
    <w:p w14:paraId="012AB134" w14:textId="5DDCD508" w:rsidR="00A80796" w:rsidRPr="000F5113" w:rsidRDefault="00A80796">
      <w:pPr>
        <w:rPr>
          <w:rFonts w:cs="Times New Roman"/>
          <w:b/>
          <w:sz w:val="22"/>
          <w:szCs w:val="22"/>
        </w:rPr>
      </w:pPr>
    </w:p>
    <w:p w14:paraId="7BE57623" w14:textId="2CF2070A" w:rsidR="00A80796" w:rsidRPr="000F5113" w:rsidRDefault="00A80796">
      <w:pPr>
        <w:rPr>
          <w:rFonts w:cs="Times New Roman"/>
          <w:b/>
          <w:sz w:val="22"/>
          <w:szCs w:val="22"/>
        </w:rPr>
      </w:pPr>
    </w:p>
    <w:p w14:paraId="5C04DAE1" w14:textId="414DD82F" w:rsidR="00A80796" w:rsidRPr="000F5113" w:rsidRDefault="00A80796">
      <w:pPr>
        <w:rPr>
          <w:rFonts w:cs="Times New Roman"/>
          <w:b/>
          <w:sz w:val="22"/>
          <w:szCs w:val="22"/>
        </w:rPr>
      </w:pPr>
    </w:p>
    <w:p w14:paraId="626B52DF" w14:textId="4A572002" w:rsidR="00A80796" w:rsidRPr="000F5113" w:rsidRDefault="00A80796">
      <w:pPr>
        <w:rPr>
          <w:rFonts w:cs="Times New Roman"/>
          <w:b/>
          <w:sz w:val="22"/>
          <w:szCs w:val="22"/>
        </w:rPr>
      </w:pPr>
    </w:p>
    <w:p w14:paraId="0B73D541" w14:textId="75C8E0FF" w:rsidR="00A80796" w:rsidRPr="000F5113" w:rsidRDefault="00A80796">
      <w:pPr>
        <w:rPr>
          <w:rFonts w:cs="Times New Roman"/>
          <w:b/>
          <w:sz w:val="22"/>
          <w:szCs w:val="22"/>
        </w:rPr>
      </w:pPr>
    </w:p>
    <w:p w14:paraId="366C944B" w14:textId="7E81CC3F" w:rsidR="00A80796" w:rsidRPr="000F5113" w:rsidRDefault="00A80796">
      <w:pPr>
        <w:rPr>
          <w:rFonts w:cs="Times New Roman"/>
          <w:b/>
          <w:sz w:val="22"/>
          <w:szCs w:val="22"/>
        </w:rPr>
      </w:pPr>
    </w:p>
    <w:p w14:paraId="54858645" w14:textId="217CE8CC" w:rsidR="00A80796" w:rsidRPr="000F5113" w:rsidRDefault="00A80796">
      <w:pPr>
        <w:rPr>
          <w:rFonts w:cs="Times New Roman"/>
          <w:b/>
          <w:sz w:val="22"/>
          <w:szCs w:val="22"/>
        </w:rPr>
      </w:pPr>
    </w:p>
    <w:p w14:paraId="4FFBAAE2" w14:textId="04D7729A" w:rsidR="00A80796" w:rsidRPr="000F5113" w:rsidRDefault="00A80796">
      <w:pPr>
        <w:rPr>
          <w:rFonts w:cs="Times New Roman"/>
          <w:b/>
          <w:sz w:val="22"/>
          <w:szCs w:val="22"/>
        </w:rPr>
      </w:pPr>
    </w:p>
    <w:p w14:paraId="585430E5" w14:textId="30E4AED0" w:rsidR="00A80796" w:rsidRPr="000F5113" w:rsidRDefault="00A80796">
      <w:pPr>
        <w:rPr>
          <w:rFonts w:cs="Times New Roman"/>
          <w:b/>
          <w:sz w:val="22"/>
          <w:szCs w:val="22"/>
        </w:rPr>
      </w:pPr>
    </w:p>
    <w:p w14:paraId="5013316F" w14:textId="0B5C614B" w:rsidR="00A80796" w:rsidRDefault="00A80796">
      <w:pPr>
        <w:rPr>
          <w:rFonts w:cs="Times New Roman"/>
          <w:b/>
          <w:sz w:val="22"/>
          <w:szCs w:val="22"/>
        </w:rPr>
      </w:pPr>
    </w:p>
    <w:p w14:paraId="5C824A91" w14:textId="77777777" w:rsidR="000F5113" w:rsidRDefault="000F5113">
      <w:pPr>
        <w:rPr>
          <w:rFonts w:cs="Times New Roman"/>
          <w:b/>
          <w:sz w:val="22"/>
          <w:szCs w:val="22"/>
        </w:rPr>
      </w:pPr>
    </w:p>
    <w:p w14:paraId="0D737731" w14:textId="77777777" w:rsidR="000F5113" w:rsidRDefault="000F5113">
      <w:pPr>
        <w:rPr>
          <w:rFonts w:cs="Times New Roman"/>
          <w:b/>
          <w:sz w:val="22"/>
          <w:szCs w:val="22"/>
        </w:rPr>
      </w:pPr>
    </w:p>
    <w:p w14:paraId="21B05677" w14:textId="77777777" w:rsidR="000F5113" w:rsidRPr="000F5113" w:rsidRDefault="000F5113">
      <w:pPr>
        <w:rPr>
          <w:rFonts w:cs="Times New Roman"/>
          <w:b/>
          <w:sz w:val="22"/>
          <w:szCs w:val="22"/>
        </w:rPr>
      </w:pPr>
    </w:p>
    <w:p w14:paraId="720D3849" w14:textId="003531A6" w:rsidR="00A80796" w:rsidRPr="000F5113" w:rsidRDefault="00A80796">
      <w:pPr>
        <w:rPr>
          <w:rFonts w:cs="Times New Roman"/>
          <w:b/>
          <w:sz w:val="22"/>
          <w:szCs w:val="22"/>
        </w:rPr>
      </w:pPr>
    </w:p>
    <w:p w14:paraId="13BE5ACA" w14:textId="08ADB4AE" w:rsidR="00A80796" w:rsidRPr="000F5113" w:rsidRDefault="00A80796">
      <w:pPr>
        <w:rPr>
          <w:rFonts w:cs="Times New Roman"/>
          <w:b/>
          <w:sz w:val="22"/>
          <w:szCs w:val="22"/>
        </w:rPr>
      </w:pPr>
    </w:p>
    <w:p w14:paraId="0AF92906" w14:textId="77777777" w:rsidR="00A80796" w:rsidRPr="000F5113" w:rsidRDefault="00A80796">
      <w:pPr>
        <w:rPr>
          <w:rFonts w:cs="Times New Roman"/>
          <w:b/>
          <w:sz w:val="22"/>
          <w:szCs w:val="22"/>
        </w:rPr>
      </w:pPr>
    </w:p>
    <w:p w14:paraId="5C993D25" w14:textId="77777777" w:rsidR="00777119" w:rsidRPr="000F5113" w:rsidRDefault="00777119">
      <w:pPr>
        <w:rPr>
          <w:rFonts w:cs="Times New Roman"/>
          <w:b/>
          <w:sz w:val="22"/>
          <w:szCs w:val="22"/>
        </w:rPr>
      </w:pPr>
    </w:p>
    <w:p w14:paraId="7DCBA880" w14:textId="77777777" w:rsidR="00777119" w:rsidRPr="000F5113" w:rsidRDefault="00777119">
      <w:pPr>
        <w:rPr>
          <w:rFonts w:cs="Times New Roman"/>
          <w:b/>
          <w:sz w:val="22"/>
          <w:szCs w:val="22"/>
        </w:rPr>
      </w:pPr>
    </w:p>
    <w:p w14:paraId="090C4491" w14:textId="77777777" w:rsidR="00777119" w:rsidRPr="000F5113" w:rsidRDefault="00777119">
      <w:pPr>
        <w:rPr>
          <w:rFonts w:cs="Times New Roman"/>
          <w:b/>
          <w:sz w:val="22"/>
          <w:szCs w:val="22"/>
        </w:rPr>
      </w:pPr>
    </w:p>
    <w:p w14:paraId="36AF3123" w14:textId="77777777" w:rsidR="00777119" w:rsidRPr="000F5113" w:rsidRDefault="00777119">
      <w:pPr>
        <w:rPr>
          <w:rFonts w:cs="Times New Roman"/>
          <w:b/>
          <w:sz w:val="22"/>
          <w:szCs w:val="22"/>
        </w:rPr>
      </w:pPr>
    </w:p>
    <w:p w14:paraId="79FCE9F9" w14:textId="77777777" w:rsidR="00777119" w:rsidRPr="000F5113" w:rsidRDefault="00777119">
      <w:pPr>
        <w:rPr>
          <w:rFonts w:cs="Times New Roman"/>
          <w:b/>
          <w:sz w:val="22"/>
          <w:szCs w:val="22"/>
        </w:rPr>
      </w:pPr>
    </w:p>
    <w:p w14:paraId="396F85E7" w14:textId="13A77E7D" w:rsidR="00A80796" w:rsidRPr="000F5113" w:rsidRDefault="00A80796">
      <w:pPr>
        <w:rPr>
          <w:rFonts w:cs="Times New Roman"/>
          <w:b/>
          <w:sz w:val="22"/>
          <w:szCs w:val="22"/>
        </w:rPr>
      </w:pPr>
    </w:p>
    <w:p w14:paraId="1BAC4CFF" w14:textId="3C129887" w:rsidR="00A80796" w:rsidRPr="000F5113" w:rsidRDefault="00A80796">
      <w:pPr>
        <w:rPr>
          <w:rFonts w:cs="Times New Roman"/>
          <w:b/>
          <w:sz w:val="22"/>
          <w:szCs w:val="22"/>
        </w:rPr>
      </w:pPr>
    </w:p>
    <w:p w14:paraId="074B1A79" w14:textId="77777777" w:rsidR="00A80796" w:rsidRPr="000F5113" w:rsidRDefault="00A80796">
      <w:pPr>
        <w:rPr>
          <w:rFonts w:cs="Times New Roman"/>
          <w:b/>
          <w:sz w:val="22"/>
          <w:szCs w:val="22"/>
        </w:rPr>
      </w:pPr>
    </w:p>
    <w:p w14:paraId="2E70E5A9" w14:textId="0AD65C22" w:rsidR="00A80796" w:rsidRPr="000F5113" w:rsidRDefault="00A80796" w:rsidP="00A80796">
      <w:pPr>
        <w:pStyle w:val="FootnoteText"/>
        <w:rPr>
          <w:sz w:val="18"/>
          <w:szCs w:val="18"/>
          <w:lang w:val="en-US"/>
        </w:rPr>
      </w:pPr>
    </w:p>
    <w:p w14:paraId="4177D3B0" w14:textId="589A31AF" w:rsidR="0084111D" w:rsidRPr="000F5113" w:rsidRDefault="0084111D" w:rsidP="004E6047">
      <w:pPr>
        <w:jc w:val="center"/>
        <w:rPr>
          <w:rFonts w:cs="Times New Roman"/>
          <w:b/>
          <w:sz w:val="22"/>
          <w:szCs w:val="22"/>
        </w:rPr>
      </w:pPr>
      <w:r w:rsidRPr="000F5113">
        <w:rPr>
          <w:rFonts w:cs="Times New Roman"/>
          <w:b/>
          <w:sz w:val="22"/>
          <w:szCs w:val="22"/>
        </w:rPr>
        <w:lastRenderedPageBreak/>
        <w:t>Appendix 1.</w:t>
      </w:r>
    </w:p>
    <w:p w14:paraId="6EB97E6D" w14:textId="77777777" w:rsidR="0084111D" w:rsidRPr="000F5113" w:rsidRDefault="0084111D">
      <w:pPr>
        <w:rPr>
          <w:rFonts w:cs="Times New Roman"/>
          <w:sz w:val="22"/>
          <w:szCs w:val="22"/>
        </w:rPr>
      </w:pPr>
    </w:p>
    <w:p w14:paraId="31B40976" w14:textId="77777777" w:rsidR="0084111D" w:rsidRPr="000F5113" w:rsidRDefault="0084111D" w:rsidP="0084111D">
      <w:pPr>
        <w:rPr>
          <w:rFonts w:cs="Times New Roman"/>
          <w:b/>
          <w:sz w:val="22"/>
          <w:szCs w:val="22"/>
        </w:rPr>
      </w:pPr>
      <w:r w:rsidRPr="000F5113">
        <w:rPr>
          <w:rFonts w:cs="Times New Roman"/>
          <w:b/>
          <w:sz w:val="22"/>
          <w:szCs w:val="22"/>
        </w:rPr>
        <w:t>NHS Providers response</w:t>
      </w:r>
    </w:p>
    <w:p w14:paraId="62DBC53D" w14:textId="77777777" w:rsidR="0084111D" w:rsidRPr="000F5113" w:rsidRDefault="00F50950" w:rsidP="0084111D">
      <w:pPr>
        <w:rPr>
          <w:rFonts w:cs="Times New Roman"/>
          <w:sz w:val="18"/>
          <w:szCs w:val="18"/>
        </w:rPr>
      </w:pPr>
      <w:hyperlink r:id="rId9" w:history="1">
        <w:r w:rsidR="0084111D" w:rsidRPr="000F5113">
          <w:rPr>
            <w:rStyle w:val="Hyperlink"/>
            <w:rFonts w:cs="Times New Roman"/>
            <w:sz w:val="18"/>
            <w:szCs w:val="18"/>
          </w:rPr>
          <w:t>https://nhsproviders.org/media/693070/nhs-providers-next-day-briefing-integration-white-paper-final.pdf</w:t>
        </w:r>
      </w:hyperlink>
      <w:r w:rsidR="0084111D" w:rsidRPr="000F5113">
        <w:rPr>
          <w:rFonts w:cs="Times New Roman"/>
          <w:sz w:val="18"/>
          <w:szCs w:val="18"/>
        </w:rPr>
        <w:t xml:space="preserve"> </w:t>
      </w:r>
    </w:p>
    <w:p w14:paraId="242A990B" w14:textId="77777777" w:rsidR="0084111D" w:rsidRPr="000F5113" w:rsidRDefault="0084111D" w:rsidP="004E6047">
      <w:pPr>
        <w:pStyle w:val="NormalWeb"/>
        <w:rPr>
          <w:rFonts w:asciiTheme="minorHAnsi" w:hAnsiTheme="minorHAnsi"/>
          <w:sz w:val="22"/>
          <w:szCs w:val="22"/>
        </w:rPr>
      </w:pPr>
      <w:r w:rsidRPr="000F5113">
        <w:rPr>
          <w:rFonts w:asciiTheme="minorHAnsi" w:hAnsiTheme="minorHAnsi"/>
          <w:sz w:val="22"/>
          <w:szCs w:val="22"/>
        </w:rPr>
        <w:t xml:space="preserve">These proposals are complex and may have far-reaching implications that need to be worked through with the sector before being taken forward. Introducing a single person accountable for health and care at place, and expecting greater pooling of NHS and social care funding – without altering the underlying financial flows, infrastructure and accountabilities – will introduce further risk into an already fragile, and under-funded, system. </w:t>
      </w:r>
    </w:p>
    <w:p w14:paraId="113DF358" w14:textId="77777777" w:rsidR="0084111D" w:rsidRPr="000F5113" w:rsidRDefault="0084111D" w:rsidP="0084111D">
      <w:pPr>
        <w:pStyle w:val="NormalWeb"/>
        <w:rPr>
          <w:rFonts w:asciiTheme="minorHAnsi" w:hAnsiTheme="minorHAnsi"/>
          <w:b/>
          <w:sz w:val="22"/>
          <w:szCs w:val="22"/>
        </w:rPr>
      </w:pPr>
      <w:r w:rsidRPr="000F5113">
        <w:rPr>
          <w:rFonts w:asciiTheme="minorHAnsi" w:hAnsiTheme="minorHAnsi"/>
          <w:b/>
          <w:sz w:val="22"/>
          <w:szCs w:val="22"/>
        </w:rPr>
        <w:t>Context and timeframe</w:t>
      </w:r>
    </w:p>
    <w:p w14:paraId="10AD413A" w14:textId="6D405600" w:rsidR="0084111D" w:rsidRPr="000F5113" w:rsidRDefault="0084111D" w:rsidP="004E6047">
      <w:pPr>
        <w:pStyle w:val="NormalWeb"/>
        <w:rPr>
          <w:rFonts w:asciiTheme="minorHAnsi" w:hAnsiTheme="minorHAnsi"/>
          <w:sz w:val="22"/>
          <w:szCs w:val="22"/>
        </w:rPr>
      </w:pPr>
      <w:r w:rsidRPr="000F5113">
        <w:rPr>
          <w:rFonts w:asciiTheme="minorHAnsi" w:hAnsiTheme="minorHAnsi"/>
          <w:sz w:val="22"/>
          <w:szCs w:val="22"/>
        </w:rPr>
        <w:t xml:space="preserve">Health and care leaders are currently managing unprecedented operational pressures at the same time as significant reform, with the health and care bill currently expected to become law in April 2022. In our engagement with the government ahead of this publication, we asked that these challenges were not exacerbated by the introduction of new, overlapping structures or conflicting, additional policy aims. We are therefore concerned that, by setting national expectations at place level, the white paper risks cutting across the bill and role of ICSs. In addition, the timescales for implementation will be extremely challenging given </w:t>
      </w:r>
      <w:r w:rsidR="004E6047" w:rsidRPr="000F5113">
        <w:rPr>
          <w:rFonts w:asciiTheme="minorHAnsi" w:hAnsiTheme="minorHAnsi"/>
          <w:sz w:val="22"/>
          <w:szCs w:val="22"/>
        </w:rPr>
        <w:t>on-going</w:t>
      </w:r>
      <w:r w:rsidRPr="000F5113">
        <w:rPr>
          <w:rFonts w:asciiTheme="minorHAnsi" w:hAnsiTheme="minorHAnsi"/>
          <w:sz w:val="22"/>
          <w:szCs w:val="22"/>
        </w:rPr>
        <w:t xml:space="preserve"> pandemic disruption, the recovery task, and in the context of the delay to full implementation of statutory ICSs to July. To avoid further disruption, we welcome the white paper’s assurances that there are no national plan</w:t>
      </w:r>
      <w:r w:rsidR="005812B6" w:rsidRPr="000F5113">
        <w:rPr>
          <w:rFonts w:asciiTheme="minorHAnsi" w:hAnsiTheme="minorHAnsi"/>
          <w:sz w:val="22"/>
          <w:szCs w:val="22"/>
        </w:rPr>
        <w:t xml:space="preserve">s to make further changes to ICS </w:t>
      </w:r>
      <w:r w:rsidRPr="000F5113">
        <w:rPr>
          <w:rFonts w:asciiTheme="minorHAnsi" w:hAnsiTheme="minorHAnsi"/>
          <w:sz w:val="22"/>
          <w:szCs w:val="22"/>
        </w:rPr>
        <w:t xml:space="preserve">boundaries. </w:t>
      </w:r>
    </w:p>
    <w:p w14:paraId="61AC01C5" w14:textId="77777777" w:rsidR="0084111D" w:rsidRPr="000F5113" w:rsidRDefault="0084111D" w:rsidP="0084111D">
      <w:pPr>
        <w:pStyle w:val="NormalWeb"/>
        <w:rPr>
          <w:rFonts w:asciiTheme="minorHAnsi" w:hAnsiTheme="minorHAnsi"/>
          <w:b/>
          <w:sz w:val="22"/>
          <w:szCs w:val="22"/>
        </w:rPr>
      </w:pPr>
      <w:r w:rsidRPr="000F5113">
        <w:rPr>
          <w:rFonts w:asciiTheme="minorHAnsi" w:hAnsiTheme="minorHAnsi"/>
          <w:b/>
          <w:sz w:val="22"/>
          <w:szCs w:val="22"/>
        </w:rPr>
        <w:t>Governance and accountability</w:t>
      </w:r>
    </w:p>
    <w:p w14:paraId="314D5D78" w14:textId="76363ABA" w:rsidR="0084111D" w:rsidRPr="000F5113" w:rsidRDefault="0084111D" w:rsidP="004E6047">
      <w:pPr>
        <w:pStyle w:val="NormalWeb"/>
        <w:rPr>
          <w:rFonts w:asciiTheme="minorHAnsi" w:hAnsiTheme="minorHAnsi"/>
          <w:sz w:val="22"/>
          <w:szCs w:val="22"/>
        </w:rPr>
      </w:pPr>
      <w:r w:rsidRPr="000F5113">
        <w:rPr>
          <w:rFonts w:asciiTheme="minorHAnsi" w:hAnsiTheme="minorHAnsi"/>
          <w:sz w:val="22"/>
          <w:szCs w:val="22"/>
        </w:rPr>
        <w:t xml:space="preserve">NHS Providers welcome the flexibility given to places to decide which governance models and leadership arrangements to adopt, especially given the differences in population size and geographical differences between OCSs. However, they are very concerned that governance and accountability structures at all levels of system working, including at place, are already being made less clear, under the health and care bill. It is very striking how many trust leaders are currently saying that accountability between trust boards, ICBs, ICPs and NHSE/I regions feels very opaque and potentially confused. Adding an additional formal layer of place-based accountability for outcomes, without being clear how these accountabilities fit with those of ICBs, trusts or local </w:t>
      </w:r>
      <w:r w:rsidR="005812B6" w:rsidRPr="000F5113">
        <w:rPr>
          <w:rFonts w:asciiTheme="minorHAnsi" w:hAnsiTheme="minorHAnsi"/>
          <w:sz w:val="22"/>
          <w:szCs w:val="22"/>
        </w:rPr>
        <w:t>authorities</w:t>
      </w:r>
      <w:r w:rsidRPr="000F5113">
        <w:rPr>
          <w:rFonts w:asciiTheme="minorHAnsi" w:hAnsiTheme="minorHAnsi"/>
          <w:sz w:val="22"/>
          <w:szCs w:val="22"/>
        </w:rPr>
        <w:t xml:space="preserve"> would blur lines of accountability even further. In particular, it is hard to see how a single leader can be accountable for the delivery of shared outcomes across the NHS and local authorities given existing statutory accountabilities for both systems will remain in place. This will lead to much greater complexity and high levels of risk being carried across all the different players in a system. </w:t>
      </w:r>
    </w:p>
    <w:p w14:paraId="000793F2" w14:textId="77777777" w:rsidR="0084111D" w:rsidRPr="000F5113" w:rsidRDefault="0084111D" w:rsidP="0084111D">
      <w:pPr>
        <w:pStyle w:val="NormalWeb"/>
        <w:rPr>
          <w:rFonts w:asciiTheme="minorHAnsi" w:hAnsiTheme="minorHAnsi"/>
          <w:b/>
          <w:sz w:val="22"/>
          <w:szCs w:val="22"/>
        </w:rPr>
      </w:pPr>
      <w:r w:rsidRPr="000F5113">
        <w:rPr>
          <w:rFonts w:asciiTheme="minorHAnsi" w:hAnsiTheme="minorHAnsi"/>
          <w:b/>
          <w:sz w:val="22"/>
          <w:szCs w:val="22"/>
        </w:rPr>
        <w:t xml:space="preserve">Increased pooling of NHS and adult social care budgets </w:t>
      </w:r>
    </w:p>
    <w:p w14:paraId="3DC36C1A" w14:textId="77777777" w:rsidR="0084111D" w:rsidRPr="000F5113" w:rsidRDefault="0084111D" w:rsidP="004E6047">
      <w:pPr>
        <w:pStyle w:val="NormalWeb"/>
        <w:rPr>
          <w:rFonts w:asciiTheme="minorHAnsi" w:hAnsiTheme="minorHAnsi"/>
          <w:sz w:val="22"/>
          <w:szCs w:val="22"/>
        </w:rPr>
      </w:pPr>
      <w:r w:rsidRPr="000F5113">
        <w:rPr>
          <w:rFonts w:asciiTheme="minorHAnsi" w:hAnsiTheme="minorHAnsi"/>
          <w:sz w:val="22"/>
          <w:szCs w:val="22"/>
        </w:rPr>
        <w:t xml:space="preserve">Pooling budgets can be a good way of aligning decision-making across the NHS and social care, and many ICSs are already considering what budgets it would make sense to delegate to places based on their local contexts. We are pleased that the government “will not at this point mandate how [pooling budgets] is achieved”, which would have undermined the intention to create a flexible national policy and legislative framework for ICSs. </w:t>
      </w:r>
    </w:p>
    <w:p w14:paraId="45DB3D05" w14:textId="1F4F3D05" w:rsidR="0084111D" w:rsidRPr="000F5113" w:rsidRDefault="0084111D" w:rsidP="004E6047">
      <w:pPr>
        <w:pStyle w:val="NormalWeb"/>
        <w:rPr>
          <w:rFonts w:asciiTheme="minorHAnsi" w:hAnsiTheme="minorHAnsi"/>
          <w:sz w:val="22"/>
          <w:szCs w:val="22"/>
        </w:rPr>
      </w:pPr>
      <w:r w:rsidRPr="000F5113">
        <w:rPr>
          <w:rFonts w:asciiTheme="minorHAnsi" w:hAnsiTheme="minorHAnsi"/>
          <w:sz w:val="22"/>
          <w:szCs w:val="22"/>
        </w:rPr>
        <w:lastRenderedPageBreak/>
        <w:t>But</w:t>
      </w:r>
      <w:r w:rsidR="00825264" w:rsidRPr="000F5113">
        <w:rPr>
          <w:rFonts w:asciiTheme="minorHAnsi" w:hAnsiTheme="minorHAnsi"/>
          <w:sz w:val="22"/>
          <w:szCs w:val="22"/>
        </w:rPr>
        <w:t xml:space="preserve"> </w:t>
      </w:r>
      <w:r w:rsidRPr="000F5113">
        <w:rPr>
          <w:rFonts w:asciiTheme="minorHAnsi" w:hAnsiTheme="minorHAnsi"/>
          <w:sz w:val="22"/>
          <w:szCs w:val="22"/>
        </w:rPr>
        <w:t xml:space="preserve">there is still an expectation that a “significant and, in many cases, growing proportion” of health and care spend will eventually be pooled at place level. We remain concerned that this approach would risk the NHS budget becoming exposed to severe and well-established funding pressures in social care. …..We are also concerned that this proposal overlooks the reality that delegation to places does not make sense in every ICS, as the composition and footprints of local communities, local authorities and NHS organisations differ considerably. </w:t>
      </w:r>
    </w:p>
    <w:p w14:paraId="06C0B120" w14:textId="77777777" w:rsidR="0084111D" w:rsidRPr="000F5113" w:rsidRDefault="0084111D" w:rsidP="004E6047">
      <w:pPr>
        <w:pStyle w:val="NormalWeb"/>
        <w:rPr>
          <w:rFonts w:asciiTheme="minorHAnsi" w:hAnsiTheme="minorHAnsi"/>
          <w:sz w:val="22"/>
          <w:szCs w:val="22"/>
        </w:rPr>
      </w:pPr>
      <w:r w:rsidRPr="000F5113">
        <w:rPr>
          <w:rFonts w:asciiTheme="minorHAnsi" w:hAnsiTheme="minorHAnsi"/>
          <w:sz w:val="22"/>
          <w:szCs w:val="22"/>
        </w:rPr>
        <w:t xml:space="preserve">While trust leaders will welcome the commitment to review section 75 arrangements, we are concerned that a focus on the mechanics of how to grow pooled budgets quickly risks detracting from more strategic objectives that would actually drive greater integration on the ground. </w:t>
      </w:r>
    </w:p>
    <w:p w14:paraId="2957D6F8" w14:textId="77777777" w:rsidR="0084111D" w:rsidRPr="000F5113" w:rsidRDefault="0084111D" w:rsidP="0084111D">
      <w:pPr>
        <w:pStyle w:val="NormalWeb"/>
        <w:rPr>
          <w:rFonts w:asciiTheme="minorHAnsi" w:hAnsiTheme="minorHAnsi"/>
          <w:b/>
          <w:sz w:val="22"/>
          <w:szCs w:val="22"/>
        </w:rPr>
      </w:pPr>
      <w:r w:rsidRPr="000F5113">
        <w:rPr>
          <w:rFonts w:asciiTheme="minorHAnsi" w:hAnsiTheme="minorHAnsi"/>
          <w:b/>
          <w:sz w:val="22"/>
          <w:szCs w:val="22"/>
        </w:rPr>
        <w:t>Shared outcomes and oversight</w:t>
      </w:r>
    </w:p>
    <w:p w14:paraId="29DEA05E" w14:textId="77777777" w:rsidR="0084111D" w:rsidRPr="000F5113" w:rsidRDefault="0084111D" w:rsidP="004E6047">
      <w:pPr>
        <w:pStyle w:val="NormalWeb"/>
        <w:rPr>
          <w:rFonts w:asciiTheme="minorHAnsi" w:hAnsiTheme="minorHAnsi"/>
          <w:sz w:val="22"/>
          <w:szCs w:val="22"/>
        </w:rPr>
      </w:pPr>
      <w:r w:rsidRPr="000F5113">
        <w:rPr>
          <w:rFonts w:asciiTheme="minorHAnsi" w:hAnsiTheme="minorHAnsi"/>
          <w:sz w:val="22"/>
          <w:szCs w:val="22"/>
        </w:rPr>
        <w:t xml:space="preserve">The paper positions the CQC as having a growing and significant role in considering outcomes agreed at place level, in addition to its new role in assessing ICSs and local authorities’ delivery of their social care duties, and its existing role regulating providers of primary, secondary and social care. We are concerned that new duties relating to place could be duplicative, and could place a significant additional burden on CQC’s capacity. In addition, these new roles, which will involve a very different type of oversight to that currently undertaken by CQC, are untested. It will therefore be essential for the CQC to build confidence among those it regulates in its ability to make judgements on integrated planning and delivery, and this will be particularly challenging given the limited engagement time available. It also raises the question of the oversight roles for DHSC, NHSE/I and the Department for Levelling Up, Housing and Communities given that statutory accountabilities for trusts and local authorities are not changing. We urge the national regulators to consult in detail with the provider sector to ensure the regulatory system is fit for purpose. </w:t>
      </w:r>
    </w:p>
    <w:p w14:paraId="5CBAF96F" w14:textId="77777777" w:rsidR="0084111D" w:rsidRPr="000F5113" w:rsidRDefault="0084111D" w:rsidP="0084111D">
      <w:pPr>
        <w:pStyle w:val="NormalWeb"/>
        <w:rPr>
          <w:rFonts w:asciiTheme="minorHAnsi" w:hAnsiTheme="minorHAnsi"/>
          <w:b/>
          <w:sz w:val="22"/>
          <w:szCs w:val="22"/>
        </w:rPr>
      </w:pPr>
      <w:r w:rsidRPr="000F5113">
        <w:rPr>
          <w:rFonts w:asciiTheme="minorHAnsi" w:hAnsiTheme="minorHAnsi"/>
          <w:b/>
          <w:sz w:val="22"/>
          <w:szCs w:val="22"/>
        </w:rPr>
        <w:t xml:space="preserve">Children and young people’s services </w:t>
      </w:r>
    </w:p>
    <w:p w14:paraId="0BFFF583" w14:textId="571EDF01" w:rsidR="0084111D" w:rsidRPr="000F5113" w:rsidRDefault="0084111D" w:rsidP="0084111D">
      <w:pPr>
        <w:pStyle w:val="NormalWeb"/>
        <w:rPr>
          <w:rFonts w:asciiTheme="minorHAnsi" w:hAnsiTheme="minorHAnsi"/>
          <w:sz w:val="22"/>
          <w:szCs w:val="22"/>
        </w:rPr>
      </w:pPr>
      <w:r w:rsidRPr="000F5113">
        <w:rPr>
          <w:rFonts w:asciiTheme="minorHAnsi" w:hAnsiTheme="minorHAnsi"/>
          <w:sz w:val="22"/>
          <w:szCs w:val="22"/>
        </w:rPr>
        <w:t>NHS Providers are disappointed that children’s</w:t>
      </w:r>
      <w:r w:rsidR="005812B6" w:rsidRPr="000F5113">
        <w:rPr>
          <w:rFonts w:asciiTheme="minorHAnsi" w:hAnsiTheme="minorHAnsi"/>
          <w:sz w:val="22"/>
          <w:szCs w:val="22"/>
        </w:rPr>
        <w:t xml:space="preserve"> s</w:t>
      </w:r>
      <w:r w:rsidRPr="000F5113">
        <w:rPr>
          <w:rFonts w:asciiTheme="minorHAnsi" w:hAnsiTheme="minorHAnsi"/>
          <w:sz w:val="22"/>
          <w:szCs w:val="22"/>
        </w:rPr>
        <w:t>ocial care is not within the scope of this paper</w:t>
      </w:r>
      <w:r w:rsidR="005812B6" w:rsidRPr="000F5113">
        <w:rPr>
          <w:rFonts w:asciiTheme="minorHAnsi" w:hAnsiTheme="minorHAnsi"/>
          <w:sz w:val="22"/>
          <w:szCs w:val="22"/>
        </w:rPr>
        <w:t>.</w:t>
      </w:r>
    </w:p>
    <w:p w14:paraId="757A626D" w14:textId="77777777" w:rsidR="0084111D" w:rsidRPr="000F5113" w:rsidRDefault="0084111D" w:rsidP="0084111D">
      <w:pPr>
        <w:pStyle w:val="NormalWeb"/>
        <w:rPr>
          <w:rFonts w:asciiTheme="minorHAnsi" w:hAnsiTheme="minorHAnsi"/>
          <w:b/>
          <w:sz w:val="22"/>
          <w:szCs w:val="22"/>
        </w:rPr>
      </w:pPr>
      <w:r w:rsidRPr="000F5113">
        <w:rPr>
          <w:rFonts w:asciiTheme="minorHAnsi" w:hAnsiTheme="minorHAnsi"/>
          <w:b/>
          <w:sz w:val="22"/>
          <w:szCs w:val="22"/>
        </w:rPr>
        <w:t>Workforce</w:t>
      </w:r>
    </w:p>
    <w:p w14:paraId="731EE682" w14:textId="3AA98FB1" w:rsidR="0084111D" w:rsidRPr="000F5113" w:rsidRDefault="0084111D" w:rsidP="0084111D">
      <w:pPr>
        <w:pStyle w:val="NormalWeb"/>
        <w:rPr>
          <w:rFonts w:asciiTheme="minorHAnsi" w:hAnsiTheme="minorHAnsi"/>
          <w:sz w:val="22"/>
          <w:szCs w:val="22"/>
        </w:rPr>
      </w:pPr>
      <w:r w:rsidRPr="000F5113">
        <w:rPr>
          <w:rFonts w:asciiTheme="minorHAnsi" w:hAnsiTheme="minorHAnsi"/>
          <w:sz w:val="22"/>
          <w:szCs w:val="22"/>
        </w:rPr>
        <w:t>The paper fails to acknowledge the scale of staff shortages in the NHS and social care sector and the national action needed to tackle these. NHS Providers response flags up the challenge posed by disparity in pay levels and employment conditions between the two sectors. It points out that it remains unclear how ICBs and/or place based partnership</w:t>
      </w:r>
      <w:r w:rsidR="004E6047" w:rsidRPr="000F5113">
        <w:rPr>
          <w:rFonts w:asciiTheme="minorHAnsi" w:hAnsiTheme="minorHAnsi"/>
          <w:sz w:val="22"/>
          <w:szCs w:val="22"/>
        </w:rPr>
        <w:t>s will adopt workforce planning</w:t>
      </w:r>
      <w:r w:rsidRPr="000F5113">
        <w:rPr>
          <w:rFonts w:asciiTheme="minorHAnsi" w:hAnsiTheme="minorHAnsi"/>
          <w:sz w:val="22"/>
          <w:szCs w:val="22"/>
        </w:rPr>
        <w:t xml:space="preserve"> responsibilities when the levers and information to do so sit outside their control (</w:t>
      </w:r>
      <w:r w:rsidR="004E6047" w:rsidRPr="000F5113">
        <w:rPr>
          <w:rFonts w:asciiTheme="minorHAnsi" w:hAnsiTheme="minorHAnsi"/>
          <w:sz w:val="22"/>
          <w:szCs w:val="22"/>
        </w:rPr>
        <w:t>e.g.</w:t>
      </w:r>
      <w:r w:rsidRPr="000F5113">
        <w:rPr>
          <w:rFonts w:asciiTheme="minorHAnsi" w:hAnsiTheme="minorHAnsi"/>
          <w:sz w:val="22"/>
          <w:szCs w:val="22"/>
        </w:rPr>
        <w:t xml:space="preserve"> medical and nursing places). The emphasis on passport is welcomed but there is no recognition of the practical, legal and contractual barriers to implementation – or solutions.</w:t>
      </w:r>
    </w:p>
    <w:p w14:paraId="037DED43" w14:textId="77777777" w:rsidR="0084111D" w:rsidRPr="000F5113" w:rsidRDefault="0084111D" w:rsidP="0084111D">
      <w:pPr>
        <w:pStyle w:val="NormalWeb"/>
        <w:rPr>
          <w:rFonts w:asciiTheme="minorHAnsi" w:hAnsiTheme="minorHAnsi"/>
          <w:b/>
          <w:sz w:val="22"/>
          <w:szCs w:val="22"/>
        </w:rPr>
      </w:pPr>
      <w:r w:rsidRPr="000F5113">
        <w:rPr>
          <w:rFonts w:asciiTheme="minorHAnsi" w:hAnsiTheme="minorHAnsi"/>
          <w:b/>
          <w:sz w:val="22"/>
          <w:szCs w:val="22"/>
        </w:rPr>
        <w:t>Digital</w:t>
      </w:r>
    </w:p>
    <w:p w14:paraId="58698339" w14:textId="2736A41B" w:rsidR="0084111D" w:rsidRPr="000F5113" w:rsidRDefault="0084111D" w:rsidP="004E6047">
      <w:pPr>
        <w:pStyle w:val="NormalWeb"/>
        <w:rPr>
          <w:rFonts w:asciiTheme="minorHAnsi" w:hAnsiTheme="minorHAnsi"/>
          <w:sz w:val="22"/>
          <w:szCs w:val="22"/>
        </w:rPr>
      </w:pPr>
      <w:r w:rsidRPr="000F5113">
        <w:rPr>
          <w:rFonts w:asciiTheme="minorHAnsi" w:hAnsiTheme="minorHAnsi"/>
          <w:sz w:val="22"/>
          <w:szCs w:val="22"/>
        </w:rPr>
        <w:t xml:space="preserve">The digital chapter helpfully draws on a range of existing and well-known initiatives. However, there are also some missed opportunities in the digital chapter, which also reads as a more prescriptive approach to rolling out EPR than previous iterations of the policy. We have also questioned the lens of the ICS without significant translation to </w:t>
      </w:r>
      <w:r w:rsidRPr="000F5113">
        <w:rPr>
          <w:rFonts w:asciiTheme="minorHAnsi" w:hAnsiTheme="minorHAnsi"/>
          <w:sz w:val="22"/>
          <w:szCs w:val="22"/>
        </w:rPr>
        <w:lastRenderedPageBreak/>
        <w:t xml:space="preserve">place level, and the focus on digitising existing models of care rather than digital technologies which may reshape service delivery. </w:t>
      </w:r>
    </w:p>
    <w:p w14:paraId="62DBF866" w14:textId="6E3EF29D" w:rsidR="0084111D" w:rsidRPr="000F5113" w:rsidRDefault="0084111D" w:rsidP="0084111D">
      <w:pPr>
        <w:pStyle w:val="NormalWeb"/>
        <w:rPr>
          <w:rFonts w:asciiTheme="minorHAnsi" w:hAnsiTheme="minorHAnsi"/>
          <w:i/>
          <w:sz w:val="22"/>
          <w:szCs w:val="22"/>
        </w:rPr>
      </w:pPr>
      <w:r w:rsidRPr="000F5113">
        <w:rPr>
          <w:rFonts w:asciiTheme="minorHAnsi" w:hAnsiTheme="minorHAnsi"/>
          <w:i/>
          <w:sz w:val="22"/>
          <w:szCs w:val="22"/>
        </w:rPr>
        <w:t xml:space="preserve">From </w:t>
      </w:r>
      <w:r w:rsidR="004E6047" w:rsidRPr="000F5113">
        <w:rPr>
          <w:rFonts w:asciiTheme="minorHAnsi" w:hAnsiTheme="minorHAnsi"/>
          <w:i/>
          <w:sz w:val="22"/>
          <w:szCs w:val="22"/>
        </w:rPr>
        <w:t xml:space="preserve">their </w:t>
      </w:r>
      <w:r w:rsidRPr="000F5113">
        <w:rPr>
          <w:rFonts w:asciiTheme="minorHAnsi" w:hAnsiTheme="minorHAnsi"/>
          <w:i/>
          <w:sz w:val="22"/>
          <w:szCs w:val="22"/>
        </w:rPr>
        <w:t>press statement</w:t>
      </w:r>
      <w:r w:rsidR="004E6047" w:rsidRPr="000F5113">
        <w:rPr>
          <w:rFonts w:asciiTheme="minorHAnsi" w:hAnsiTheme="minorHAnsi"/>
          <w:i/>
          <w:sz w:val="22"/>
          <w:szCs w:val="22"/>
        </w:rPr>
        <w:t>:</w:t>
      </w:r>
    </w:p>
    <w:p w14:paraId="2BD540F7" w14:textId="438E3A5A" w:rsidR="0084111D" w:rsidRPr="000F5113" w:rsidRDefault="0084111D" w:rsidP="0084111D">
      <w:pPr>
        <w:pStyle w:val="NormalWeb"/>
        <w:rPr>
          <w:rFonts w:asciiTheme="minorHAnsi" w:hAnsiTheme="minorHAnsi"/>
          <w:sz w:val="22"/>
          <w:szCs w:val="22"/>
        </w:rPr>
      </w:pPr>
      <w:r w:rsidRPr="000F5113">
        <w:rPr>
          <w:rFonts w:asciiTheme="minorHAnsi" w:hAnsiTheme="minorHAnsi"/>
          <w:sz w:val="22"/>
          <w:szCs w:val="22"/>
        </w:rPr>
        <w:t>“Local partners across health and social care are making steps to better integrate health and care teams but they will need to be supported with much better national planning and information on workforce needs to make this a reality across the piste</w:t>
      </w:r>
      <w:r w:rsidR="005812B6" w:rsidRPr="000F5113">
        <w:rPr>
          <w:rFonts w:asciiTheme="minorHAnsi" w:hAnsiTheme="minorHAnsi"/>
          <w:sz w:val="22"/>
          <w:szCs w:val="22"/>
        </w:rPr>
        <w:t xml:space="preserve"> [sic]</w:t>
      </w:r>
      <w:r w:rsidRPr="000F5113">
        <w:rPr>
          <w:rFonts w:asciiTheme="minorHAnsi" w:hAnsiTheme="minorHAnsi"/>
          <w:sz w:val="22"/>
          <w:szCs w:val="22"/>
        </w:rPr>
        <w:t xml:space="preserve">. </w:t>
      </w:r>
    </w:p>
    <w:p w14:paraId="2F2A0A64" w14:textId="77777777" w:rsidR="0084111D" w:rsidRPr="000F5113" w:rsidRDefault="0084111D" w:rsidP="0084111D">
      <w:pPr>
        <w:pStyle w:val="NormalWeb"/>
        <w:rPr>
          <w:rFonts w:asciiTheme="minorHAnsi" w:hAnsiTheme="minorHAnsi"/>
          <w:sz w:val="22"/>
          <w:szCs w:val="22"/>
        </w:rPr>
      </w:pPr>
      <w:r w:rsidRPr="000F5113">
        <w:rPr>
          <w:rFonts w:asciiTheme="minorHAnsi" w:hAnsiTheme="minorHAnsi"/>
          <w:sz w:val="22"/>
          <w:szCs w:val="22"/>
        </w:rPr>
        <w:t xml:space="preserve">“And while pooled budgets can help align decision-making across the NHS and social care, here again, we support a flexible approach. Pooling NHS and social care budgets is no substitute for funding both systems appropriately and placing social care services on a sustainable footing. </w:t>
      </w:r>
    </w:p>
    <w:p w14:paraId="7ADD5CD1" w14:textId="77777777" w:rsidR="0084111D" w:rsidRPr="000F5113" w:rsidRDefault="0084111D" w:rsidP="0084111D">
      <w:pPr>
        <w:pStyle w:val="NormalWeb"/>
        <w:rPr>
          <w:rFonts w:asciiTheme="minorHAnsi" w:hAnsiTheme="minorHAnsi"/>
          <w:sz w:val="22"/>
          <w:szCs w:val="22"/>
        </w:rPr>
      </w:pPr>
      <w:r w:rsidRPr="000F5113">
        <w:rPr>
          <w:rFonts w:asciiTheme="minorHAnsi" w:hAnsiTheme="minorHAnsi"/>
          <w:sz w:val="22"/>
          <w:szCs w:val="22"/>
        </w:rPr>
        <w:t xml:space="preserve">“We would like to see greater weight given to behavioural, relational and cultural factors in supporting local integration, rather than the current focus on structures and funding mechanisms.” </w:t>
      </w:r>
    </w:p>
    <w:p w14:paraId="193EAA80" w14:textId="77777777" w:rsidR="0084111D" w:rsidRPr="000F5113" w:rsidRDefault="0084111D" w:rsidP="0084111D">
      <w:pPr>
        <w:pStyle w:val="NormalWeb"/>
        <w:rPr>
          <w:rFonts w:asciiTheme="minorHAnsi" w:hAnsiTheme="minorHAnsi"/>
          <w:sz w:val="22"/>
          <w:szCs w:val="22"/>
        </w:rPr>
      </w:pPr>
    </w:p>
    <w:p w14:paraId="5D34126F" w14:textId="4DD1EE25" w:rsidR="0084111D" w:rsidRPr="000F5113" w:rsidRDefault="0084111D" w:rsidP="004E6047">
      <w:pPr>
        <w:jc w:val="center"/>
        <w:rPr>
          <w:rFonts w:cs="Times New Roman"/>
          <w:b/>
          <w:sz w:val="22"/>
          <w:szCs w:val="22"/>
        </w:rPr>
      </w:pPr>
      <w:r w:rsidRPr="000F5113">
        <w:rPr>
          <w:rFonts w:cs="Times New Roman"/>
          <w:b/>
          <w:sz w:val="22"/>
          <w:szCs w:val="22"/>
        </w:rPr>
        <w:t>Appendix 2</w:t>
      </w:r>
    </w:p>
    <w:p w14:paraId="09A9DCE5" w14:textId="77777777" w:rsidR="0084111D" w:rsidRPr="000F5113" w:rsidRDefault="0084111D">
      <w:pPr>
        <w:rPr>
          <w:rFonts w:cs="Times New Roman"/>
          <w:sz w:val="22"/>
          <w:szCs w:val="22"/>
        </w:rPr>
      </w:pPr>
    </w:p>
    <w:p w14:paraId="18B934FE" w14:textId="5467D829" w:rsidR="0084111D" w:rsidRPr="000F5113" w:rsidRDefault="0084111D" w:rsidP="0084111D">
      <w:pPr>
        <w:rPr>
          <w:rFonts w:cs="Times New Roman"/>
          <w:sz w:val="22"/>
          <w:szCs w:val="22"/>
        </w:rPr>
      </w:pPr>
      <w:r w:rsidRPr="000F5113">
        <w:rPr>
          <w:rFonts w:cs="Times New Roman"/>
          <w:b/>
          <w:sz w:val="22"/>
          <w:szCs w:val="22"/>
        </w:rPr>
        <w:t>L</w:t>
      </w:r>
      <w:r w:rsidR="00D61E3C" w:rsidRPr="000F5113">
        <w:rPr>
          <w:rFonts w:cs="Times New Roman"/>
          <w:b/>
          <w:sz w:val="22"/>
          <w:szCs w:val="22"/>
        </w:rPr>
        <w:t xml:space="preserve">ocal </w:t>
      </w:r>
      <w:r w:rsidRPr="000F5113">
        <w:rPr>
          <w:rFonts w:cs="Times New Roman"/>
          <w:b/>
          <w:sz w:val="22"/>
          <w:szCs w:val="22"/>
        </w:rPr>
        <w:t>G</w:t>
      </w:r>
      <w:r w:rsidR="00D61E3C" w:rsidRPr="000F5113">
        <w:rPr>
          <w:rFonts w:cs="Times New Roman"/>
          <w:b/>
          <w:sz w:val="22"/>
          <w:szCs w:val="22"/>
        </w:rPr>
        <w:t xml:space="preserve">overnment </w:t>
      </w:r>
      <w:r w:rsidRPr="000F5113">
        <w:rPr>
          <w:rFonts w:cs="Times New Roman"/>
          <w:b/>
          <w:sz w:val="22"/>
          <w:szCs w:val="22"/>
        </w:rPr>
        <w:t>A</w:t>
      </w:r>
      <w:r w:rsidR="001B38C0" w:rsidRPr="000F5113">
        <w:rPr>
          <w:rFonts w:cs="Times New Roman"/>
          <w:b/>
          <w:sz w:val="22"/>
          <w:szCs w:val="22"/>
        </w:rPr>
        <w:t>ssociation</w:t>
      </w:r>
      <w:r w:rsidRPr="000F5113">
        <w:rPr>
          <w:rFonts w:cs="Times New Roman"/>
          <w:b/>
          <w:sz w:val="22"/>
          <w:szCs w:val="22"/>
        </w:rPr>
        <w:t xml:space="preserve"> response </w:t>
      </w:r>
      <w:r w:rsidRPr="000F5113">
        <w:rPr>
          <w:rFonts w:cs="Times New Roman"/>
          <w:sz w:val="22"/>
          <w:szCs w:val="22"/>
        </w:rPr>
        <w:t>(selected issues</w:t>
      </w:r>
      <w:r w:rsidR="00D61E3C" w:rsidRPr="000F5113">
        <w:rPr>
          <w:rFonts w:cs="Times New Roman"/>
          <w:sz w:val="22"/>
          <w:szCs w:val="22"/>
        </w:rPr>
        <w:t>)</w:t>
      </w:r>
    </w:p>
    <w:p w14:paraId="1432B550" w14:textId="77777777" w:rsidR="0084111D" w:rsidRPr="000F5113" w:rsidRDefault="00F50950" w:rsidP="0084111D">
      <w:pPr>
        <w:spacing w:after="300"/>
        <w:rPr>
          <w:rFonts w:cs="Times New Roman"/>
          <w:color w:val="464B51"/>
          <w:sz w:val="18"/>
          <w:szCs w:val="18"/>
        </w:rPr>
      </w:pPr>
      <w:hyperlink r:id="rId10" w:history="1">
        <w:r w:rsidR="0084111D" w:rsidRPr="000F5113">
          <w:rPr>
            <w:rStyle w:val="Hyperlink"/>
            <w:rFonts w:cs="Times New Roman"/>
            <w:sz w:val="18"/>
            <w:szCs w:val="18"/>
          </w:rPr>
          <w:t>https://www.local.gov.uk/parliament/briefings-and-responses/lga-response-health-and-social-care-integration-joining-care</w:t>
        </w:r>
      </w:hyperlink>
      <w:r w:rsidR="0084111D" w:rsidRPr="000F5113">
        <w:rPr>
          <w:rFonts w:cs="Times New Roman"/>
          <w:color w:val="464B51"/>
          <w:sz w:val="18"/>
          <w:szCs w:val="18"/>
        </w:rPr>
        <w:t xml:space="preserve"> </w:t>
      </w:r>
    </w:p>
    <w:p w14:paraId="78628B03" w14:textId="77777777" w:rsidR="0084111D" w:rsidRPr="000F5113" w:rsidRDefault="0084111D" w:rsidP="0084111D">
      <w:pPr>
        <w:spacing w:after="300"/>
        <w:rPr>
          <w:rFonts w:cs="Times New Roman"/>
          <w:sz w:val="22"/>
          <w:szCs w:val="22"/>
        </w:rPr>
      </w:pPr>
      <w:r w:rsidRPr="000F5113">
        <w:rPr>
          <w:rFonts w:cs="Times New Roman"/>
          <w:sz w:val="22"/>
          <w:szCs w:val="22"/>
        </w:rPr>
        <w:t xml:space="preserve">The response is largely favourable. It welcomes the focus on prevention, but argues that intent and ambition need to be matched with adequate investment. Councils’ public health grant has been cut by 24 per cent on a real-terms per capita basis since 2015/16. </w:t>
      </w:r>
    </w:p>
    <w:p w14:paraId="777BE0D5" w14:textId="56026382" w:rsidR="0084111D" w:rsidRPr="000F5113" w:rsidRDefault="0084111D" w:rsidP="0084111D">
      <w:pPr>
        <w:spacing w:after="300"/>
        <w:rPr>
          <w:rFonts w:cs="Times New Roman"/>
          <w:sz w:val="22"/>
          <w:szCs w:val="22"/>
        </w:rPr>
      </w:pPr>
      <w:r w:rsidRPr="000F5113">
        <w:rPr>
          <w:rFonts w:cs="Times New Roman"/>
          <w:sz w:val="22"/>
          <w:szCs w:val="22"/>
        </w:rPr>
        <w:t>Proposals for strengthening the levers of integration (</w:t>
      </w:r>
      <w:r w:rsidR="004E6047" w:rsidRPr="000F5113">
        <w:rPr>
          <w:rFonts w:cs="Times New Roman"/>
          <w:sz w:val="22"/>
          <w:szCs w:val="22"/>
        </w:rPr>
        <w:t>e.g.</w:t>
      </w:r>
      <w:r w:rsidRPr="000F5113">
        <w:rPr>
          <w:rFonts w:cs="Times New Roman"/>
          <w:sz w:val="22"/>
          <w:szCs w:val="22"/>
        </w:rPr>
        <w:t xml:space="preserve"> financial frameworks, digital technology and data sharing, workforce planning and development) are seen as ambitious and requiring major investment and support from national partners.</w:t>
      </w:r>
    </w:p>
    <w:p w14:paraId="666D3733" w14:textId="70898A1F" w:rsidR="0084111D" w:rsidRPr="000F5113" w:rsidRDefault="0084111D" w:rsidP="0084111D">
      <w:pPr>
        <w:spacing w:after="300"/>
        <w:rPr>
          <w:rFonts w:cs="Times New Roman"/>
          <w:sz w:val="22"/>
          <w:szCs w:val="22"/>
        </w:rPr>
      </w:pPr>
      <w:r w:rsidRPr="000F5113">
        <w:rPr>
          <w:rFonts w:cs="Times New Roman"/>
          <w:sz w:val="22"/>
          <w:szCs w:val="22"/>
        </w:rPr>
        <w:t>A review of existing legal powers, especially S75 (pre</w:t>
      </w:r>
      <w:r w:rsidR="005812B6" w:rsidRPr="000F5113">
        <w:rPr>
          <w:rFonts w:cs="Times New Roman"/>
          <w:sz w:val="22"/>
          <w:szCs w:val="22"/>
        </w:rPr>
        <w:t>sumably of the NHS Act 2006) is</w:t>
      </w:r>
      <w:r w:rsidRPr="000F5113">
        <w:rPr>
          <w:rFonts w:cs="Times New Roman"/>
          <w:sz w:val="22"/>
          <w:szCs w:val="22"/>
        </w:rPr>
        <w:t xml:space="preserve"> welcomed.</w:t>
      </w:r>
    </w:p>
    <w:p w14:paraId="06EB880E" w14:textId="77777777" w:rsidR="0084111D" w:rsidRPr="000F5113" w:rsidRDefault="0084111D" w:rsidP="0084111D">
      <w:pPr>
        <w:spacing w:after="300"/>
        <w:rPr>
          <w:rFonts w:cs="Times New Roman"/>
          <w:sz w:val="22"/>
          <w:szCs w:val="22"/>
        </w:rPr>
      </w:pPr>
      <w:r w:rsidRPr="000F5113">
        <w:rPr>
          <w:rFonts w:cs="Times New Roman"/>
          <w:sz w:val="22"/>
          <w:szCs w:val="22"/>
        </w:rPr>
        <w:t>The focus on place, and expectation of close collaborative working between ICSs and places is seen as a welcome counterbalance to the recent focus on the role of ICSs (presumably meaning ICBs/ICPs?)</w:t>
      </w:r>
    </w:p>
    <w:p w14:paraId="14CF437A" w14:textId="77777777" w:rsidR="0084111D" w:rsidRPr="000F5113" w:rsidRDefault="0084111D" w:rsidP="0084111D">
      <w:pPr>
        <w:rPr>
          <w:rFonts w:cs="Times New Roman"/>
          <w:sz w:val="22"/>
          <w:szCs w:val="22"/>
        </w:rPr>
      </w:pPr>
      <w:r w:rsidRPr="000F5113">
        <w:rPr>
          <w:rFonts w:cs="Times New Roman"/>
          <w:sz w:val="22"/>
          <w:szCs w:val="22"/>
        </w:rPr>
        <w:t xml:space="preserve">It points out that place-based health and well-being boards already have statutory duties to develop joint strategic needs assessments and joint health and well-being strategies. </w:t>
      </w:r>
    </w:p>
    <w:p w14:paraId="6E5C503F" w14:textId="77777777" w:rsidR="0084111D" w:rsidRPr="000F5113" w:rsidRDefault="0084111D" w:rsidP="0084111D">
      <w:pPr>
        <w:rPr>
          <w:rFonts w:cs="Times New Roman"/>
          <w:sz w:val="22"/>
          <w:szCs w:val="22"/>
        </w:rPr>
      </w:pPr>
    </w:p>
    <w:p w14:paraId="667F722D" w14:textId="77777777" w:rsidR="0084111D" w:rsidRPr="000F5113" w:rsidRDefault="0084111D" w:rsidP="0084111D">
      <w:pPr>
        <w:rPr>
          <w:rFonts w:cs="Times New Roman"/>
          <w:sz w:val="22"/>
          <w:szCs w:val="22"/>
        </w:rPr>
      </w:pPr>
      <w:r w:rsidRPr="000F5113">
        <w:rPr>
          <w:rFonts w:cs="Times New Roman"/>
          <w:sz w:val="22"/>
          <w:szCs w:val="22"/>
        </w:rPr>
        <w:t>It argues that in determining place boundaries, ICSs should build on those of councils that have health and well being boards, and that many existing strategies, plans and partnerships are organised on the basis of council boundaries.</w:t>
      </w:r>
    </w:p>
    <w:p w14:paraId="424C1AC3" w14:textId="77777777" w:rsidR="0084111D" w:rsidRPr="000F5113" w:rsidRDefault="0084111D" w:rsidP="0084111D">
      <w:pPr>
        <w:rPr>
          <w:rFonts w:cs="Times New Roman"/>
          <w:sz w:val="22"/>
          <w:szCs w:val="22"/>
        </w:rPr>
      </w:pPr>
    </w:p>
    <w:p w14:paraId="7CAB92B0" w14:textId="77777777" w:rsidR="0084111D" w:rsidRPr="000F5113" w:rsidRDefault="0084111D" w:rsidP="0084111D">
      <w:pPr>
        <w:rPr>
          <w:rFonts w:cs="Times New Roman"/>
          <w:sz w:val="22"/>
          <w:szCs w:val="22"/>
        </w:rPr>
      </w:pPr>
      <w:r w:rsidRPr="000F5113">
        <w:rPr>
          <w:rFonts w:cs="Times New Roman"/>
          <w:sz w:val="22"/>
          <w:szCs w:val="22"/>
        </w:rPr>
        <w:t>The LGA is disappointed, given the focus on the role of housing in the adult social care paper, that there is so little reference to housing as a key component of integrated care.</w:t>
      </w:r>
    </w:p>
    <w:p w14:paraId="5D2760B3" w14:textId="77777777" w:rsidR="0084111D" w:rsidRPr="000F5113" w:rsidRDefault="0084111D" w:rsidP="0084111D">
      <w:pPr>
        <w:rPr>
          <w:rFonts w:cs="Times New Roman"/>
          <w:sz w:val="22"/>
          <w:szCs w:val="22"/>
        </w:rPr>
      </w:pPr>
    </w:p>
    <w:p w14:paraId="4AB5891F" w14:textId="77777777" w:rsidR="0084111D" w:rsidRPr="000F5113" w:rsidRDefault="0084111D" w:rsidP="0084111D">
      <w:pPr>
        <w:rPr>
          <w:rFonts w:eastAsia="Times New Roman" w:cs="Times New Roman"/>
          <w:sz w:val="22"/>
          <w:szCs w:val="22"/>
        </w:rPr>
      </w:pPr>
      <w:r w:rsidRPr="000F5113">
        <w:rPr>
          <w:rFonts w:cs="Times New Roman"/>
          <w:sz w:val="22"/>
          <w:szCs w:val="22"/>
        </w:rPr>
        <w:lastRenderedPageBreak/>
        <w:t>It strongly welcomes the focus on digital and data, and that the Digital Data and Technology profession will be recognised within Agenda for Change</w:t>
      </w:r>
    </w:p>
    <w:p w14:paraId="315A38CA" w14:textId="77777777" w:rsidR="0084111D" w:rsidRPr="000F5113" w:rsidRDefault="0084111D" w:rsidP="0084111D">
      <w:pPr>
        <w:rPr>
          <w:rFonts w:cs="Times New Roman"/>
          <w:sz w:val="22"/>
          <w:szCs w:val="22"/>
        </w:rPr>
      </w:pPr>
    </w:p>
    <w:p w14:paraId="6D415EA5" w14:textId="6E4E2CB6" w:rsidR="0084111D" w:rsidRPr="000F5113" w:rsidRDefault="0084111D" w:rsidP="0084111D">
      <w:pPr>
        <w:rPr>
          <w:rFonts w:cs="Times New Roman"/>
          <w:b/>
          <w:sz w:val="22"/>
          <w:szCs w:val="22"/>
        </w:rPr>
      </w:pPr>
      <w:r w:rsidRPr="000F5113">
        <w:rPr>
          <w:rFonts w:cs="Times New Roman"/>
          <w:sz w:val="22"/>
          <w:szCs w:val="22"/>
        </w:rPr>
        <w:t xml:space="preserve">The LGA welcomes the greater use </w:t>
      </w:r>
      <w:r w:rsidR="004E6047" w:rsidRPr="000F5113">
        <w:rPr>
          <w:rFonts w:cs="Times New Roman"/>
          <w:sz w:val="22"/>
          <w:szCs w:val="22"/>
        </w:rPr>
        <w:t>of pooled</w:t>
      </w:r>
      <w:r w:rsidRPr="000F5113">
        <w:rPr>
          <w:rFonts w:cs="Times New Roman"/>
          <w:sz w:val="22"/>
          <w:szCs w:val="22"/>
        </w:rPr>
        <w:t xml:space="preserve"> and aligned budgets, and the flexibility for place based leaders to deploy these to their own priorities, but the use of these budgets must be seen in the wider financial context for the NHS, adult social care and public health</w:t>
      </w:r>
      <w:r w:rsidRPr="000F5113">
        <w:rPr>
          <w:rFonts w:cs="Times New Roman"/>
          <w:b/>
          <w:sz w:val="22"/>
          <w:szCs w:val="22"/>
        </w:rPr>
        <w:t>.</w:t>
      </w:r>
    </w:p>
    <w:p w14:paraId="7FD8C1CB" w14:textId="77777777" w:rsidR="0084111D" w:rsidRPr="000F5113" w:rsidRDefault="0084111D" w:rsidP="0084111D">
      <w:pPr>
        <w:rPr>
          <w:rFonts w:cs="Times New Roman"/>
          <w:b/>
          <w:sz w:val="22"/>
          <w:szCs w:val="22"/>
        </w:rPr>
      </w:pPr>
    </w:p>
    <w:p w14:paraId="398F91A4" w14:textId="3C34F4FB" w:rsidR="0084111D" w:rsidRPr="000F5113" w:rsidRDefault="0084111D" w:rsidP="0084111D">
      <w:pPr>
        <w:rPr>
          <w:rFonts w:cs="Times New Roman"/>
          <w:sz w:val="22"/>
          <w:szCs w:val="22"/>
        </w:rPr>
      </w:pPr>
      <w:r w:rsidRPr="000F5113">
        <w:rPr>
          <w:rFonts w:cs="Times New Roman"/>
          <w:sz w:val="22"/>
          <w:szCs w:val="22"/>
        </w:rPr>
        <w:t>On delivering integration through workforce and carers, the LGA sees that ambition for the workforce won’t succeed without proper action on pay. The delegation of further clinical duties to care workers will have to be supported by training and transfer of resources. Staff shortages have to be addressed.  The proposed regulatory change to ensure more flexible movement</w:t>
      </w:r>
      <w:r w:rsidR="004E6047" w:rsidRPr="000F5113">
        <w:rPr>
          <w:rFonts w:cs="Times New Roman"/>
          <w:sz w:val="22"/>
          <w:szCs w:val="22"/>
        </w:rPr>
        <w:t xml:space="preserve"> around the system is important</w:t>
      </w:r>
      <w:r w:rsidRPr="000F5113">
        <w:rPr>
          <w:rFonts w:cs="Times New Roman"/>
          <w:sz w:val="22"/>
          <w:szCs w:val="22"/>
        </w:rPr>
        <w:t>: the LGA has long advocated such changes to ensure public health staff can move between the NHS and local government without losing continuity of service.</w:t>
      </w:r>
    </w:p>
    <w:sectPr w:rsidR="0084111D" w:rsidRPr="000F5113" w:rsidSect="00DF108A">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D215" w14:textId="77777777" w:rsidR="00F50950" w:rsidRDefault="00F50950" w:rsidP="004E6047">
      <w:r>
        <w:separator/>
      </w:r>
    </w:p>
  </w:endnote>
  <w:endnote w:type="continuationSeparator" w:id="0">
    <w:p w14:paraId="1FB9DAF3" w14:textId="77777777" w:rsidR="00F50950" w:rsidRDefault="00F50950" w:rsidP="004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B9D5" w14:textId="77777777" w:rsidR="00777119" w:rsidRDefault="00777119" w:rsidP="00262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52B29" w14:textId="77777777" w:rsidR="00777119" w:rsidRDefault="00777119" w:rsidP="004E6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8018" w14:textId="77777777" w:rsidR="00777119" w:rsidRDefault="00777119" w:rsidP="00262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999">
      <w:rPr>
        <w:rStyle w:val="PageNumber"/>
        <w:noProof/>
      </w:rPr>
      <w:t>1</w:t>
    </w:r>
    <w:r>
      <w:rPr>
        <w:rStyle w:val="PageNumber"/>
      </w:rPr>
      <w:fldChar w:fldCharType="end"/>
    </w:r>
  </w:p>
  <w:p w14:paraId="19100E3A" w14:textId="77777777" w:rsidR="00777119" w:rsidRDefault="00777119" w:rsidP="004E60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B4D0" w14:textId="77777777" w:rsidR="00F50950" w:rsidRDefault="00F50950" w:rsidP="004E6047">
      <w:r>
        <w:separator/>
      </w:r>
    </w:p>
  </w:footnote>
  <w:footnote w:type="continuationSeparator" w:id="0">
    <w:p w14:paraId="34641D9D" w14:textId="77777777" w:rsidR="00F50950" w:rsidRDefault="00F50950" w:rsidP="004E6047">
      <w:r>
        <w:continuationSeparator/>
      </w:r>
    </w:p>
  </w:footnote>
  <w:footnote w:id="1">
    <w:p w14:paraId="48AB4043" w14:textId="4049756D" w:rsidR="00777119" w:rsidRPr="00805D72" w:rsidRDefault="00777119">
      <w:pPr>
        <w:pStyle w:val="FootnoteText"/>
        <w:rPr>
          <w:lang w:val="en-US"/>
        </w:rPr>
      </w:pPr>
      <w:r w:rsidRPr="001B38C0">
        <w:rPr>
          <w:rStyle w:val="FootnoteReference"/>
          <w:sz w:val="18"/>
          <w:szCs w:val="18"/>
        </w:rPr>
        <w:footnoteRef/>
      </w:r>
      <w:r w:rsidRPr="001B38C0">
        <w:rPr>
          <w:sz w:val="18"/>
          <w:szCs w:val="18"/>
        </w:rPr>
        <w:t xml:space="preserve"> </w:t>
      </w:r>
      <w:hyperlink r:id="rId1" w:history="1">
        <w:r w:rsidRPr="001B38C0">
          <w:rPr>
            <w:rStyle w:val="Hyperlink"/>
            <w:sz w:val="18"/>
            <w:szCs w:val="18"/>
          </w:rPr>
          <w:t>https://www.england.nhs.uk/wp-content/uploads/2021/06/B0660-ics-implementation-guidance-on-thriving-places.pdf?dm_i=21A8,7IYP9,184WW0,UNKBW,1</w:t>
        </w:r>
      </w:hyperlink>
      <w:r>
        <w:t xml:space="preserve"> </w:t>
      </w:r>
      <w:r w:rsidRPr="001B38C0">
        <w:rPr>
          <w:sz w:val="18"/>
          <w:szCs w:val="18"/>
        </w:rPr>
        <w:t>p6</w:t>
      </w:r>
    </w:p>
  </w:footnote>
  <w:footnote w:id="2">
    <w:p w14:paraId="0A0445EB" w14:textId="147DE933" w:rsidR="00777119" w:rsidRPr="000E2812" w:rsidRDefault="00777119">
      <w:pPr>
        <w:pStyle w:val="FootnoteText"/>
        <w:rPr>
          <w:lang w:val="en-US"/>
        </w:rPr>
      </w:pPr>
      <w:r w:rsidRPr="000E2812">
        <w:rPr>
          <w:rStyle w:val="FootnoteReference"/>
          <w:sz w:val="18"/>
          <w:szCs w:val="18"/>
        </w:rPr>
        <w:footnoteRef/>
      </w:r>
      <w:r w:rsidRPr="000E2812">
        <w:t xml:space="preserve"> </w:t>
      </w:r>
      <w:r w:rsidRPr="000E2812">
        <w:rPr>
          <w:rFonts w:eastAsia="Times New Roman" w:cs="Times New Roman"/>
          <w:sz w:val="18"/>
          <w:szCs w:val="18"/>
        </w:rPr>
        <w:t>This of course means the involvement of the private sector – to give one example, almost all care providers are private companies</w:t>
      </w:r>
      <w:r w:rsidRPr="000E2812">
        <w:rPr>
          <w:rFonts w:eastAsia="Times New Roman" w:cs="Times New Roman"/>
          <w:i/>
          <w:sz w:val="18"/>
          <w:szCs w:val="18"/>
        </w:rPr>
        <w:t>.</w:t>
      </w:r>
    </w:p>
  </w:footnote>
  <w:footnote w:id="3">
    <w:p w14:paraId="3147E4F2" w14:textId="77777777" w:rsidR="00777119" w:rsidRPr="000E2812" w:rsidRDefault="00777119" w:rsidP="000E2812">
      <w:pPr>
        <w:pStyle w:val="NormalWeb"/>
        <w:shd w:val="clear" w:color="auto" w:fill="FFFFFF"/>
        <w:spacing w:before="0" w:beforeAutospacing="0" w:after="0" w:afterAutospacing="0"/>
        <w:rPr>
          <w:rFonts w:asciiTheme="minorHAnsi" w:hAnsiTheme="minorHAnsi"/>
          <w:sz w:val="18"/>
          <w:szCs w:val="18"/>
        </w:rPr>
      </w:pPr>
      <w:r w:rsidRPr="000E2812">
        <w:rPr>
          <w:rStyle w:val="FootnoteReference"/>
          <w:sz w:val="18"/>
          <w:szCs w:val="18"/>
        </w:rPr>
        <w:footnoteRef/>
      </w:r>
      <w:r w:rsidRPr="000E2812">
        <w:rPr>
          <w:sz w:val="18"/>
          <w:szCs w:val="18"/>
        </w:rPr>
        <w:t xml:space="preserve"> </w:t>
      </w:r>
      <w:hyperlink r:id="rId2" w:history="1">
        <w:r w:rsidRPr="000E2812">
          <w:rPr>
            <w:rStyle w:val="Hyperlink"/>
            <w:rFonts w:asciiTheme="minorHAnsi" w:hAnsiTheme="minorHAnsi"/>
            <w:sz w:val="18"/>
            <w:szCs w:val="18"/>
          </w:rPr>
          <w:t>https://www.lgcplus.com/politics/lgc-briefing/the-fundamental-flaw-in-health-and-care-integration-white-paper-16-02-2022/</w:t>
        </w:r>
      </w:hyperlink>
    </w:p>
    <w:p w14:paraId="08AE728E" w14:textId="2C96D3CB" w:rsidR="00777119" w:rsidRPr="000E2812" w:rsidRDefault="00777119" w:rsidP="000E2812">
      <w:pPr>
        <w:pStyle w:val="FootnoteText"/>
        <w:rPr>
          <w:lang w:val="en-US"/>
        </w:rPr>
      </w:pPr>
    </w:p>
  </w:footnote>
  <w:footnote w:id="4">
    <w:p w14:paraId="129CC581" w14:textId="77777777" w:rsidR="00777119" w:rsidRPr="00777119" w:rsidRDefault="00777119" w:rsidP="00BA5579">
      <w:pPr>
        <w:rPr>
          <w:rFonts w:cs="Times New Roman"/>
          <w:iCs/>
          <w:sz w:val="18"/>
          <w:szCs w:val="18"/>
        </w:rPr>
      </w:pPr>
      <w:r w:rsidRPr="00777119">
        <w:rPr>
          <w:rStyle w:val="FootnoteReference"/>
          <w:sz w:val="18"/>
          <w:szCs w:val="18"/>
        </w:rPr>
        <w:footnoteRef/>
      </w:r>
      <w:r w:rsidRPr="00777119">
        <w:rPr>
          <w:sz w:val="18"/>
          <w:szCs w:val="18"/>
        </w:rPr>
        <w:t xml:space="preserve"> </w:t>
      </w:r>
      <w:r w:rsidRPr="00777119">
        <w:rPr>
          <w:rFonts w:cs="Times New Roman"/>
          <w:iCs/>
          <w:sz w:val="18"/>
          <w:szCs w:val="18"/>
        </w:rPr>
        <w:t>The Skills For Care report</w:t>
      </w:r>
      <w:r w:rsidRPr="00777119">
        <w:rPr>
          <w:rFonts w:cs="Times New Roman"/>
          <w:i/>
          <w:iCs/>
          <w:sz w:val="18"/>
          <w:szCs w:val="18"/>
        </w:rPr>
        <w:t xml:space="preserve"> ‘The State of the Adult Social Care Sector and Workforce in England </w:t>
      </w:r>
      <w:r w:rsidRPr="00777119">
        <w:rPr>
          <w:rFonts w:cs="Times New Roman"/>
          <w:iCs/>
          <w:sz w:val="18"/>
          <w:szCs w:val="18"/>
        </w:rPr>
        <w:t xml:space="preserve">2021’ estimates that the number of people working in adult social care is 1.54 million, so £500 million would provide just £325 each. </w:t>
      </w:r>
    </w:p>
    <w:p w14:paraId="3420498E" w14:textId="2351B2BE" w:rsidR="00777119" w:rsidRPr="00777119" w:rsidRDefault="00777119" w:rsidP="00BA5579">
      <w:pPr>
        <w:rPr>
          <w:rFonts w:cs="Times New Roman"/>
          <w:iCs/>
          <w:sz w:val="18"/>
          <w:szCs w:val="18"/>
        </w:rPr>
      </w:pPr>
      <w:r w:rsidRPr="00777119">
        <w:rPr>
          <w:rFonts w:cs="Times New Roman"/>
          <w:iCs/>
          <w:sz w:val="18"/>
          <w:szCs w:val="18"/>
        </w:rPr>
        <w:t>A briefing from the Health Foundation, the Kings Fund and the Nuffield Trust ‘</w:t>
      </w:r>
      <w:r w:rsidRPr="00777119">
        <w:rPr>
          <w:rFonts w:cs="Times New Roman"/>
          <w:i/>
          <w:iCs/>
          <w:sz w:val="18"/>
          <w:szCs w:val="18"/>
        </w:rPr>
        <w:t>The Value of Investing in Social Care</w:t>
      </w:r>
      <w:r w:rsidRPr="00777119">
        <w:rPr>
          <w:rFonts w:cs="Times New Roman"/>
          <w:iCs/>
          <w:sz w:val="18"/>
          <w:szCs w:val="18"/>
        </w:rPr>
        <w:t>’, October 2021, quotes the Health Foundation’s REAL Centre projects that the government would need to spend between an extra £2.5bn (just to meet future demand) and £9.3bn (to also improve access to care and pay more for care) by 2024/25. The recent funding announcement covers only some of this, providing around £1.5bn a year.</w:t>
      </w:r>
    </w:p>
    <w:p w14:paraId="15FA2A21" w14:textId="56E8981C" w:rsidR="00777119" w:rsidRPr="00777119" w:rsidRDefault="00777119">
      <w:pPr>
        <w:pStyle w:val="FootnoteText"/>
        <w:rPr>
          <w:sz w:val="18"/>
          <w:szCs w:val="18"/>
          <w:lang w:val="en-US"/>
        </w:rPr>
      </w:pPr>
    </w:p>
  </w:footnote>
  <w:footnote w:id="5">
    <w:p w14:paraId="37B46E16" w14:textId="5467C41A" w:rsidR="00777119" w:rsidRPr="00777119" w:rsidRDefault="00777119">
      <w:pPr>
        <w:pStyle w:val="FootnoteText"/>
        <w:rPr>
          <w:lang w:val="en-US"/>
        </w:rPr>
      </w:pPr>
      <w:r>
        <w:rPr>
          <w:rStyle w:val="FootnoteReference"/>
        </w:rPr>
        <w:footnoteRef/>
      </w:r>
      <w:r>
        <w:t xml:space="preserve"> </w:t>
      </w:r>
      <w:hyperlink r:id="rId3" w:history="1">
        <w:r w:rsidRPr="001B38C0">
          <w:rPr>
            <w:rStyle w:val="Hyperlink"/>
            <w:rFonts w:eastAsia="Times New Roman"/>
            <w:sz w:val="18"/>
            <w:szCs w:val="18"/>
          </w:rPr>
          <w:t>https://digitalhealth.london/the-analystx-story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5B5"/>
    <w:multiLevelType w:val="multilevel"/>
    <w:tmpl w:val="267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C176A"/>
    <w:multiLevelType w:val="multilevel"/>
    <w:tmpl w:val="FCF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241679"/>
    <w:multiLevelType w:val="multilevel"/>
    <w:tmpl w:val="BED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9707927">
    <w:abstractNumId w:val="0"/>
  </w:num>
  <w:num w:numId="2" w16cid:durableId="1349138871">
    <w:abstractNumId w:val="1"/>
  </w:num>
  <w:num w:numId="3" w16cid:durableId="1492867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DE"/>
    <w:rsid w:val="00011623"/>
    <w:rsid w:val="00014601"/>
    <w:rsid w:val="000162CD"/>
    <w:rsid w:val="000230EE"/>
    <w:rsid w:val="000251AE"/>
    <w:rsid w:val="00040A4D"/>
    <w:rsid w:val="00044640"/>
    <w:rsid w:val="00051D3F"/>
    <w:rsid w:val="0006388A"/>
    <w:rsid w:val="000709FA"/>
    <w:rsid w:val="000770A8"/>
    <w:rsid w:val="0009188E"/>
    <w:rsid w:val="000936EC"/>
    <w:rsid w:val="000A5FBD"/>
    <w:rsid w:val="000B0153"/>
    <w:rsid w:val="000B108A"/>
    <w:rsid w:val="000B6921"/>
    <w:rsid w:val="000C1010"/>
    <w:rsid w:val="000D4F27"/>
    <w:rsid w:val="000D5F14"/>
    <w:rsid w:val="000E2812"/>
    <w:rsid w:val="000E2AC7"/>
    <w:rsid w:val="000E722E"/>
    <w:rsid w:val="000F004C"/>
    <w:rsid w:val="000F1923"/>
    <w:rsid w:val="000F2175"/>
    <w:rsid w:val="000F5113"/>
    <w:rsid w:val="00102671"/>
    <w:rsid w:val="00114132"/>
    <w:rsid w:val="0012059F"/>
    <w:rsid w:val="00122399"/>
    <w:rsid w:val="001234F1"/>
    <w:rsid w:val="001301B4"/>
    <w:rsid w:val="00153AC6"/>
    <w:rsid w:val="001645AA"/>
    <w:rsid w:val="00167F67"/>
    <w:rsid w:val="00170A05"/>
    <w:rsid w:val="00171934"/>
    <w:rsid w:val="00180B20"/>
    <w:rsid w:val="00197EE7"/>
    <w:rsid w:val="001B38C0"/>
    <w:rsid w:val="001C64C5"/>
    <w:rsid w:val="001D031F"/>
    <w:rsid w:val="001D36AD"/>
    <w:rsid w:val="001D5CB2"/>
    <w:rsid w:val="001D7FF5"/>
    <w:rsid w:val="001E0976"/>
    <w:rsid w:val="001F0C27"/>
    <w:rsid w:val="001F4AF9"/>
    <w:rsid w:val="00203B94"/>
    <w:rsid w:val="002078D1"/>
    <w:rsid w:val="00210A48"/>
    <w:rsid w:val="00217EC7"/>
    <w:rsid w:val="0022024A"/>
    <w:rsid w:val="002465D9"/>
    <w:rsid w:val="00254B83"/>
    <w:rsid w:val="00255994"/>
    <w:rsid w:val="0026215D"/>
    <w:rsid w:val="002640AA"/>
    <w:rsid w:val="00274447"/>
    <w:rsid w:val="0027524B"/>
    <w:rsid w:val="0028049F"/>
    <w:rsid w:val="00295641"/>
    <w:rsid w:val="002A3406"/>
    <w:rsid w:val="002C1D42"/>
    <w:rsid w:val="002C4106"/>
    <w:rsid w:val="002C5C16"/>
    <w:rsid w:val="002D0F5C"/>
    <w:rsid w:val="002D60BE"/>
    <w:rsid w:val="002D6ABE"/>
    <w:rsid w:val="002E1226"/>
    <w:rsid w:val="002F4230"/>
    <w:rsid w:val="00300658"/>
    <w:rsid w:val="0030406B"/>
    <w:rsid w:val="00313673"/>
    <w:rsid w:val="003216CD"/>
    <w:rsid w:val="00322524"/>
    <w:rsid w:val="00332FF9"/>
    <w:rsid w:val="00340986"/>
    <w:rsid w:val="00344AA3"/>
    <w:rsid w:val="00352EF2"/>
    <w:rsid w:val="00360B1E"/>
    <w:rsid w:val="003674AF"/>
    <w:rsid w:val="00376EC1"/>
    <w:rsid w:val="00390EEC"/>
    <w:rsid w:val="003A61B6"/>
    <w:rsid w:val="003C1ECE"/>
    <w:rsid w:val="003D2046"/>
    <w:rsid w:val="003E712B"/>
    <w:rsid w:val="003F4329"/>
    <w:rsid w:val="004203A5"/>
    <w:rsid w:val="00423FB6"/>
    <w:rsid w:val="004242EF"/>
    <w:rsid w:val="00424A66"/>
    <w:rsid w:val="00442810"/>
    <w:rsid w:val="0045500E"/>
    <w:rsid w:val="00455410"/>
    <w:rsid w:val="0046076B"/>
    <w:rsid w:val="004613FD"/>
    <w:rsid w:val="0048050B"/>
    <w:rsid w:val="00493C2D"/>
    <w:rsid w:val="004A4F95"/>
    <w:rsid w:val="004B6B5D"/>
    <w:rsid w:val="004C6A8C"/>
    <w:rsid w:val="004E1316"/>
    <w:rsid w:val="004E6047"/>
    <w:rsid w:val="004E6BBB"/>
    <w:rsid w:val="004F4F65"/>
    <w:rsid w:val="00504230"/>
    <w:rsid w:val="00524F28"/>
    <w:rsid w:val="00526A46"/>
    <w:rsid w:val="005517BB"/>
    <w:rsid w:val="005525C1"/>
    <w:rsid w:val="0055319A"/>
    <w:rsid w:val="00561592"/>
    <w:rsid w:val="00563420"/>
    <w:rsid w:val="00564D88"/>
    <w:rsid w:val="0057350D"/>
    <w:rsid w:val="005801C2"/>
    <w:rsid w:val="005812B6"/>
    <w:rsid w:val="005950A9"/>
    <w:rsid w:val="0059655B"/>
    <w:rsid w:val="005A0652"/>
    <w:rsid w:val="005A26C8"/>
    <w:rsid w:val="005B35AB"/>
    <w:rsid w:val="005B54FD"/>
    <w:rsid w:val="005C303E"/>
    <w:rsid w:val="005D2837"/>
    <w:rsid w:val="005E07F3"/>
    <w:rsid w:val="005E0A21"/>
    <w:rsid w:val="0060257F"/>
    <w:rsid w:val="0061639E"/>
    <w:rsid w:val="00626C1A"/>
    <w:rsid w:val="00630482"/>
    <w:rsid w:val="00634ED0"/>
    <w:rsid w:val="00636D51"/>
    <w:rsid w:val="00640EE9"/>
    <w:rsid w:val="00647613"/>
    <w:rsid w:val="00673F3A"/>
    <w:rsid w:val="006838FA"/>
    <w:rsid w:val="00685C86"/>
    <w:rsid w:val="006868B7"/>
    <w:rsid w:val="00690C28"/>
    <w:rsid w:val="006A3A66"/>
    <w:rsid w:val="006A62F5"/>
    <w:rsid w:val="006B54D2"/>
    <w:rsid w:val="006D1DDF"/>
    <w:rsid w:val="006E3999"/>
    <w:rsid w:val="006F6A02"/>
    <w:rsid w:val="00700A1D"/>
    <w:rsid w:val="00704B08"/>
    <w:rsid w:val="00707EEE"/>
    <w:rsid w:val="007135E6"/>
    <w:rsid w:val="00721442"/>
    <w:rsid w:val="00725369"/>
    <w:rsid w:val="007415EB"/>
    <w:rsid w:val="00741B46"/>
    <w:rsid w:val="0075253B"/>
    <w:rsid w:val="00764984"/>
    <w:rsid w:val="007707BA"/>
    <w:rsid w:val="00777119"/>
    <w:rsid w:val="00784FA0"/>
    <w:rsid w:val="00790C84"/>
    <w:rsid w:val="00792E5B"/>
    <w:rsid w:val="00797310"/>
    <w:rsid w:val="007A0F06"/>
    <w:rsid w:val="007A3E19"/>
    <w:rsid w:val="007A6905"/>
    <w:rsid w:val="007B45DF"/>
    <w:rsid w:val="007B6942"/>
    <w:rsid w:val="007D5480"/>
    <w:rsid w:val="007D669D"/>
    <w:rsid w:val="007E039D"/>
    <w:rsid w:val="007E11E7"/>
    <w:rsid w:val="007F6CDE"/>
    <w:rsid w:val="0080086E"/>
    <w:rsid w:val="00805D72"/>
    <w:rsid w:val="00815A5B"/>
    <w:rsid w:val="00825264"/>
    <w:rsid w:val="00827576"/>
    <w:rsid w:val="00837F52"/>
    <w:rsid w:val="0084111D"/>
    <w:rsid w:val="008460DC"/>
    <w:rsid w:val="00881FCC"/>
    <w:rsid w:val="00887483"/>
    <w:rsid w:val="0088781A"/>
    <w:rsid w:val="00887912"/>
    <w:rsid w:val="008A55F3"/>
    <w:rsid w:val="008B058D"/>
    <w:rsid w:val="008B4057"/>
    <w:rsid w:val="008C143D"/>
    <w:rsid w:val="008C2D33"/>
    <w:rsid w:val="008D4814"/>
    <w:rsid w:val="008E4429"/>
    <w:rsid w:val="008F0BB8"/>
    <w:rsid w:val="008F6238"/>
    <w:rsid w:val="008F7557"/>
    <w:rsid w:val="0090311F"/>
    <w:rsid w:val="00913BFD"/>
    <w:rsid w:val="00920720"/>
    <w:rsid w:val="0092440A"/>
    <w:rsid w:val="00927A84"/>
    <w:rsid w:val="00941E4A"/>
    <w:rsid w:val="00950936"/>
    <w:rsid w:val="00962E03"/>
    <w:rsid w:val="0096438C"/>
    <w:rsid w:val="009740AA"/>
    <w:rsid w:val="009779E2"/>
    <w:rsid w:val="009A43AC"/>
    <w:rsid w:val="009A7084"/>
    <w:rsid w:val="009B6522"/>
    <w:rsid w:val="009D5FDC"/>
    <w:rsid w:val="009D7694"/>
    <w:rsid w:val="009E0CA4"/>
    <w:rsid w:val="009E5C0B"/>
    <w:rsid w:val="009E693A"/>
    <w:rsid w:val="00A03CFF"/>
    <w:rsid w:val="00A12348"/>
    <w:rsid w:val="00A16987"/>
    <w:rsid w:val="00A26749"/>
    <w:rsid w:val="00A41960"/>
    <w:rsid w:val="00A47780"/>
    <w:rsid w:val="00A569B8"/>
    <w:rsid w:val="00A603FA"/>
    <w:rsid w:val="00A626B0"/>
    <w:rsid w:val="00A64EE7"/>
    <w:rsid w:val="00A677C8"/>
    <w:rsid w:val="00A700B5"/>
    <w:rsid w:val="00A7042D"/>
    <w:rsid w:val="00A801EA"/>
    <w:rsid w:val="00A80796"/>
    <w:rsid w:val="00A825F7"/>
    <w:rsid w:val="00AA3DB6"/>
    <w:rsid w:val="00AA5DFC"/>
    <w:rsid w:val="00AA6E3A"/>
    <w:rsid w:val="00AB506D"/>
    <w:rsid w:val="00AC22ED"/>
    <w:rsid w:val="00AC39B9"/>
    <w:rsid w:val="00AD2053"/>
    <w:rsid w:val="00AF4120"/>
    <w:rsid w:val="00AF4C62"/>
    <w:rsid w:val="00B207E6"/>
    <w:rsid w:val="00B267E0"/>
    <w:rsid w:val="00B30793"/>
    <w:rsid w:val="00B35F68"/>
    <w:rsid w:val="00B41070"/>
    <w:rsid w:val="00B471B7"/>
    <w:rsid w:val="00B5058C"/>
    <w:rsid w:val="00B56DE1"/>
    <w:rsid w:val="00B5707F"/>
    <w:rsid w:val="00B57476"/>
    <w:rsid w:val="00B60338"/>
    <w:rsid w:val="00B6375D"/>
    <w:rsid w:val="00B64DED"/>
    <w:rsid w:val="00B65413"/>
    <w:rsid w:val="00B81ABE"/>
    <w:rsid w:val="00B8596F"/>
    <w:rsid w:val="00B879DE"/>
    <w:rsid w:val="00BA5579"/>
    <w:rsid w:val="00BA6730"/>
    <w:rsid w:val="00BA6BE2"/>
    <w:rsid w:val="00BB7E0D"/>
    <w:rsid w:val="00BC07E6"/>
    <w:rsid w:val="00BC0EAC"/>
    <w:rsid w:val="00BC58BE"/>
    <w:rsid w:val="00BD0E11"/>
    <w:rsid w:val="00BE2DBC"/>
    <w:rsid w:val="00BE70AB"/>
    <w:rsid w:val="00BF2972"/>
    <w:rsid w:val="00BF3937"/>
    <w:rsid w:val="00BF53D8"/>
    <w:rsid w:val="00BF7FB1"/>
    <w:rsid w:val="00C01390"/>
    <w:rsid w:val="00C01EE2"/>
    <w:rsid w:val="00C02A10"/>
    <w:rsid w:val="00C07098"/>
    <w:rsid w:val="00C14B11"/>
    <w:rsid w:val="00C210A3"/>
    <w:rsid w:val="00C23B44"/>
    <w:rsid w:val="00C44253"/>
    <w:rsid w:val="00C47D23"/>
    <w:rsid w:val="00C51687"/>
    <w:rsid w:val="00C54005"/>
    <w:rsid w:val="00C5411A"/>
    <w:rsid w:val="00C55EB2"/>
    <w:rsid w:val="00C66B2C"/>
    <w:rsid w:val="00C809D4"/>
    <w:rsid w:val="00C91FEE"/>
    <w:rsid w:val="00C936C4"/>
    <w:rsid w:val="00CA0ADF"/>
    <w:rsid w:val="00CA2EEA"/>
    <w:rsid w:val="00CC4EC3"/>
    <w:rsid w:val="00CD2E2F"/>
    <w:rsid w:val="00CD4C58"/>
    <w:rsid w:val="00CE12B0"/>
    <w:rsid w:val="00CE1EB1"/>
    <w:rsid w:val="00CE2B04"/>
    <w:rsid w:val="00CF2128"/>
    <w:rsid w:val="00CF48B3"/>
    <w:rsid w:val="00CF7CF1"/>
    <w:rsid w:val="00D0207F"/>
    <w:rsid w:val="00D15169"/>
    <w:rsid w:val="00D154F9"/>
    <w:rsid w:val="00D20B34"/>
    <w:rsid w:val="00D213B4"/>
    <w:rsid w:val="00D26A08"/>
    <w:rsid w:val="00D30225"/>
    <w:rsid w:val="00D31E54"/>
    <w:rsid w:val="00D46BBD"/>
    <w:rsid w:val="00D50D1B"/>
    <w:rsid w:val="00D53B50"/>
    <w:rsid w:val="00D61E3C"/>
    <w:rsid w:val="00D642D8"/>
    <w:rsid w:val="00D65BB3"/>
    <w:rsid w:val="00D72158"/>
    <w:rsid w:val="00D77842"/>
    <w:rsid w:val="00D82083"/>
    <w:rsid w:val="00D911A7"/>
    <w:rsid w:val="00D91390"/>
    <w:rsid w:val="00D96A8F"/>
    <w:rsid w:val="00DA6350"/>
    <w:rsid w:val="00DB0C99"/>
    <w:rsid w:val="00DB33EE"/>
    <w:rsid w:val="00DB4555"/>
    <w:rsid w:val="00DB6AD9"/>
    <w:rsid w:val="00DC641E"/>
    <w:rsid w:val="00DD1625"/>
    <w:rsid w:val="00DD454D"/>
    <w:rsid w:val="00DD6F56"/>
    <w:rsid w:val="00DF108A"/>
    <w:rsid w:val="00DF2320"/>
    <w:rsid w:val="00DF5759"/>
    <w:rsid w:val="00E04D74"/>
    <w:rsid w:val="00E147CF"/>
    <w:rsid w:val="00E17737"/>
    <w:rsid w:val="00E206EE"/>
    <w:rsid w:val="00E24168"/>
    <w:rsid w:val="00E3103C"/>
    <w:rsid w:val="00E31FEB"/>
    <w:rsid w:val="00E33B1A"/>
    <w:rsid w:val="00E36695"/>
    <w:rsid w:val="00E408BF"/>
    <w:rsid w:val="00E51609"/>
    <w:rsid w:val="00E52F57"/>
    <w:rsid w:val="00E579CB"/>
    <w:rsid w:val="00E7156C"/>
    <w:rsid w:val="00E73083"/>
    <w:rsid w:val="00E80385"/>
    <w:rsid w:val="00E916F0"/>
    <w:rsid w:val="00EA2A49"/>
    <w:rsid w:val="00EA4ADA"/>
    <w:rsid w:val="00EB16DB"/>
    <w:rsid w:val="00EB58DF"/>
    <w:rsid w:val="00ED0C0F"/>
    <w:rsid w:val="00ED25E7"/>
    <w:rsid w:val="00ED2AE5"/>
    <w:rsid w:val="00EE7D6A"/>
    <w:rsid w:val="00EF78CB"/>
    <w:rsid w:val="00F02B41"/>
    <w:rsid w:val="00F060D0"/>
    <w:rsid w:val="00F07A4B"/>
    <w:rsid w:val="00F10438"/>
    <w:rsid w:val="00F23D16"/>
    <w:rsid w:val="00F246AD"/>
    <w:rsid w:val="00F26BE2"/>
    <w:rsid w:val="00F30B2A"/>
    <w:rsid w:val="00F42F1F"/>
    <w:rsid w:val="00F50950"/>
    <w:rsid w:val="00F5112F"/>
    <w:rsid w:val="00F537FC"/>
    <w:rsid w:val="00F560D4"/>
    <w:rsid w:val="00F77E13"/>
    <w:rsid w:val="00F94497"/>
    <w:rsid w:val="00FB3A8E"/>
    <w:rsid w:val="00FB4627"/>
    <w:rsid w:val="00FB60E2"/>
    <w:rsid w:val="00FC063E"/>
    <w:rsid w:val="00FC0B79"/>
    <w:rsid w:val="00FC5936"/>
    <w:rsid w:val="00FD08B6"/>
    <w:rsid w:val="00FD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0EB0A"/>
  <w14:defaultImageDpi w14:val="300"/>
  <w15:docId w15:val="{38B9FF7B-0466-DE4E-BB09-69B0DCA8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14"/>
    <w:rPr>
      <w:color w:val="0000FF" w:themeColor="hyperlink"/>
      <w:u w:val="single"/>
    </w:rPr>
  </w:style>
  <w:style w:type="character" w:customStyle="1" w:styleId="apple-converted-space">
    <w:name w:val="apple-converted-space"/>
    <w:basedOn w:val="DefaultParagraphFont"/>
    <w:rsid w:val="0028049F"/>
  </w:style>
  <w:style w:type="paragraph" w:styleId="NormalWeb">
    <w:name w:val="Normal (Web)"/>
    <w:basedOn w:val="Normal"/>
    <w:uiPriority w:val="99"/>
    <w:unhideWhenUsed/>
    <w:rsid w:val="00DC641E"/>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153AC6"/>
    <w:rPr>
      <w:color w:val="800080" w:themeColor="followedHyperlink"/>
      <w:u w:val="single"/>
    </w:rPr>
  </w:style>
  <w:style w:type="paragraph" w:styleId="Footer">
    <w:name w:val="footer"/>
    <w:basedOn w:val="Normal"/>
    <w:link w:val="FooterChar"/>
    <w:uiPriority w:val="99"/>
    <w:unhideWhenUsed/>
    <w:rsid w:val="004E6047"/>
    <w:pPr>
      <w:tabs>
        <w:tab w:val="center" w:pos="4320"/>
        <w:tab w:val="right" w:pos="8640"/>
      </w:tabs>
    </w:pPr>
  </w:style>
  <w:style w:type="character" w:customStyle="1" w:styleId="FooterChar">
    <w:name w:val="Footer Char"/>
    <w:basedOn w:val="DefaultParagraphFont"/>
    <w:link w:val="Footer"/>
    <w:uiPriority w:val="99"/>
    <w:rsid w:val="004E6047"/>
    <w:rPr>
      <w:lang w:val="en-GB"/>
    </w:rPr>
  </w:style>
  <w:style w:type="character" w:styleId="PageNumber">
    <w:name w:val="page number"/>
    <w:basedOn w:val="DefaultParagraphFont"/>
    <w:uiPriority w:val="99"/>
    <w:semiHidden/>
    <w:unhideWhenUsed/>
    <w:rsid w:val="004E6047"/>
  </w:style>
  <w:style w:type="paragraph" w:styleId="FootnoteText">
    <w:name w:val="footnote text"/>
    <w:basedOn w:val="Normal"/>
    <w:link w:val="FootnoteTextChar"/>
    <w:uiPriority w:val="99"/>
    <w:unhideWhenUsed/>
    <w:rsid w:val="002465D9"/>
  </w:style>
  <w:style w:type="character" w:customStyle="1" w:styleId="FootnoteTextChar">
    <w:name w:val="Footnote Text Char"/>
    <w:basedOn w:val="DefaultParagraphFont"/>
    <w:link w:val="FootnoteText"/>
    <w:uiPriority w:val="99"/>
    <w:rsid w:val="002465D9"/>
    <w:rPr>
      <w:lang w:val="en-GB"/>
    </w:rPr>
  </w:style>
  <w:style w:type="character" w:styleId="FootnoteReference">
    <w:name w:val="footnote reference"/>
    <w:basedOn w:val="DefaultParagraphFont"/>
    <w:uiPriority w:val="99"/>
    <w:unhideWhenUsed/>
    <w:rsid w:val="002465D9"/>
    <w:rPr>
      <w:vertAlign w:val="superscript"/>
    </w:rPr>
  </w:style>
  <w:style w:type="character" w:customStyle="1" w:styleId="UnresolvedMention1">
    <w:name w:val="Unresolved Mention1"/>
    <w:basedOn w:val="DefaultParagraphFont"/>
    <w:uiPriority w:val="99"/>
    <w:semiHidden/>
    <w:unhideWhenUsed/>
    <w:rsid w:val="00CF7CF1"/>
    <w:rPr>
      <w:color w:val="605E5C"/>
      <w:shd w:val="clear" w:color="auto" w:fill="E1DFDD"/>
    </w:rPr>
  </w:style>
  <w:style w:type="paragraph" w:styleId="Header">
    <w:name w:val="header"/>
    <w:basedOn w:val="Normal"/>
    <w:link w:val="HeaderChar"/>
    <w:uiPriority w:val="99"/>
    <w:unhideWhenUsed/>
    <w:rsid w:val="00504230"/>
    <w:pPr>
      <w:tabs>
        <w:tab w:val="center" w:pos="4513"/>
        <w:tab w:val="right" w:pos="9026"/>
      </w:tabs>
    </w:pPr>
  </w:style>
  <w:style w:type="character" w:customStyle="1" w:styleId="HeaderChar">
    <w:name w:val="Header Char"/>
    <w:basedOn w:val="DefaultParagraphFont"/>
    <w:link w:val="Header"/>
    <w:uiPriority w:val="99"/>
    <w:rsid w:val="005042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5021">
      <w:bodyDiv w:val="1"/>
      <w:marLeft w:val="0"/>
      <w:marRight w:val="0"/>
      <w:marTop w:val="0"/>
      <w:marBottom w:val="0"/>
      <w:divBdr>
        <w:top w:val="none" w:sz="0" w:space="0" w:color="auto"/>
        <w:left w:val="none" w:sz="0" w:space="0" w:color="auto"/>
        <w:bottom w:val="none" w:sz="0" w:space="0" w:color="auto"/>
        <w:right w:val="none" w:sz="0" w:space="0" w:color="auto"/>
      </w:divBdr>
      <w:divsChild>
        <w:div w:id="1176458002">
          <w:marLeft w:val="0"/>
          <w:marRight w:val="0"/>
          <w:marTop w:val="0"/>
          <w:marBottom w:val="0"/>
          <w:divBdr>
            <w:top w:val="none" w:sz="0" w:space="0" w:color="auto"/>
            <w:left w:val="none" w:sz="0" w:space="0" w:color="auto"/>
            <w:bottom w:val="none" w:sz="0" w:space="0" w:color="auto"/>
            <w:right w:val="none" w:sz="0" w:space="0" w:color="auto"/>
          </w:divBdr>
          <w:divsChild>
            <w:div w:id="1463694158">
              <w:marLeft w:val="0"/>
              <w:marRight w:val="0"/>
              <w:marTop w:val="0"/>
              <w:marBottom w:val="0"/>
              <w:divBdr>
                <w:top w:val="none" w:sz="0" w:space="0" w:color="auto"/>
                <w:left w:val="none" w:sz="0" w:space="0" w:color="auto"/>
                <w:bottom w:val="none" w:sz="0" w:space="0" w:color="auto"/>
                <w:right w:val="none" w:sz="0" w:space="0" w:color="auto"/>
              </w:divBdr>
              <w:divsChild>
                <w:div w:id="1428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269">
      <w:bodyDiv w:val="1"/>
      <w:marLeft w:val="0"/>
      <w:marRight w:val="0"/>
      <w:marTop w:val="0"/>
      <w:marBottom w:val="0"/>
      <w:divBdr>
        <w:top w:val="none" w:sz="0" w:space="0" w:color="auto"/>
        <w:left w:val="none" w:sz="0" w:space="0" w:color="auto"/>
        <w:bottom w:val="none" w:sz="0" w:space="0" w:color="auto"/>
        <w:right w:val="none" w:sz="0" w:space="0" w:color="auto"/>
      </w:divBdr>
      <w:divsChild>
        <w:div w:id="1063335833">
          <w:marLeft w:val="0"/>
          <w:marRight w:val="0"/>
          <w:marTop w:val="0"/>
          <w:marBottom w:val="0"/>
          <w:divBdr>
            <w:top w:val="none" w:sz="0" w:space="0" w:color="auto"/>
            <w:left w:val="none" w:sz="0" w:space="0" w:color="auto"/>
            <w:bottom w:val="none" w:sz="0" w:space="0" w:color="auto"/>
            <w:right w:val="none" w:sz="0" w:space="0" w:color="auto"/>
          </w:divBdr>
          <w:divsChild>
            <w:div w:id="2018342949">
              <w:marLeft w:val="0"/>
              <w:marRight w:val="0"/>
              <w:marTop w:val="0"/>
              <w:marBottom w:val="0"/>
              <w:divBdr>
                <w:top w:val="none" w:sz="0" w:space="0" w:color="auto"/>
                <w:left w:val="none" w:sz="0" w:space="0" w:color="auto"/>
                <w:bottom w:val="none" w:sz="0" w:space="0" w:color="auto"/>
                <w:right w:val="none" w:sz="0" w:space="0" w:color="auto"/>
              </w:divBdr>
              <w:divsChild>
                <w:div w:id="16741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8445">
      <w:bodyDiv w:val="1"/>
      <w:marLeft w:val="0"/>
      <w:marRight w:val="0"/>
      <w:marTop w:val="0"/>
      <w:marBottom w:val="0"/>
      <w:divBdr>
        <w:top w:val="none" w:sz="0" w:space="0" w:color="auto"/>
        <w:left w:val="none" w:sz="0" w:space="0" w:color="auto"/>
        <w:bottom w:val="none" w:sz="0" w:space="0" w:color="auto"/>
        <w:right w:val="none" w:sz="0" w:space="0" w:color="auto"/>
      </w:divBdr>
    </w:div>
    <w:div w:id="355742520">
      <w:bodyDiv w:val="1"/>
      <w:marLeft w:val="0"/>
      <w:marRight w:val="0"/>
      <w:marTop w:val="0"/>
      <w:marBottom w:val="0"/>
      <w:divBdr>
        <w:top w:val="none" w:sz="0" w:space="0" w:color="auto"/>
        <w:left w:val="none" w:sz="0" w:space="0" w:color="auto"/>
        <w:bottom w:val="none" w:sz="0" w:space="0" w:color="auto"/>
        <w:right w:val="none" w:sz="0" w:space="0" w:color="auto"/>
      </w:divBdr>
    </w:div>
    <w:div w:id="423113217">
      <w:bodyDiv w:val="1"/>
      <w:marLeft w:val="0"/>
      <w:marRight w:val="0"/>
      <w:marTop w:val="0"/>
      <w:marBottom w:val="0"/>
      <w:divBdr>
        <w:top w:val="none" w:sz="0" w:space="0" w:color="auto"/>
        <w:left w:val="none" w:sz="0" w:space="0" w:color="auto"/>
        <w:bottom w:val="none" w:sz="0" w:space="0" w:color="auto"/>
        <w:right w:val="none" w:sz="0" w:space="0" w:color="auto"/>
      </w:divBdr>
    </w:div>
    <w:div w:id="844318018">
      <w:bodyDiv w:val="1"/>
      <w:marLeft w:val="0"/>
      <w:marRight w:val="0"/>
      <w:marTop w:val="0"/>
      <w:marBottom w:val="0"/>
      <w:divBdr>
        <w:top w:val="none" w:sz="0" w:space="0" w:color="auto"/>
        <w:left w:val="none" w:sz="0" w:space="0" w:color="auto"/>
        <w:bottom w:val="none" w:sz="0" w:space="0" w:color="auto"/>
        <w:right w:val="none" w:sz="0" w:space="0" w:color="auto"/>
      </w:divBdr>
    </w:div>
    <w:div w:id="879710122">
      <w:bodyDiv w:val="1"/>
      <w:marLeft w:val="0"/>
      <w:marRight w:val="0"/>
      <w:marTop w:val="0"/>
      <w:marBottom w:val="0"/>
      <w:divBdr>
        <w:top w:val="none" w:sz="0" w:space="0" w:color="auto"/>
        <w:left w:val="none" w:sz="0" w:space="0" w:color="auto"/>
        <w:bottom w:val="none" w:sz="0" w:space="0" w:color="auto"/>
        <w:right w:val="none" w:sz="0" w:space="0" w:color="auto"/>
      </w:divBdr>
    </w:div>
    <w:div w:id="918294589">
      <w:bodyDiv w:val="1"/>
      <w:marLeft w:val="0"/>
      <w:marRight w:val="0"/>
      <w:marTop w:val="0"/>
      <w:marBottom w:val="0"/>
      <w:divBdr>
        <w:top w:val="none" w:sz="0" w:space="0" w:color="auto"/>
        <w:left w:val="none" w:sz="0" w:space="0" w:color="auto"/>
        <w:bottom w:val="none" w:sz="0" w:space="0" w:color="auto"/>
        <w:right w:val="none" w:sz="0" w:space="0" w:color="auto"/>
      </w:divBdr>
      <w:divsChild>
        <w:div w:id="1716615908">
          <w:marLeft w:val="0"/>
          <w:marRight w:val="0"/>
          <w:marTop w:val="0"/>
          <w:marBottom w:val="0"/>
          <w:divBdr>
            <w:top w:val="none" w:sz="0" w:space="0" w:color="auto"/>
            <w:left w:val="none" w:sz="0" w:space="0" w:color="auto"/>
            <w:bottom w:val="none" w:sz="0" w:space="0" w:color="auto"/>
            <w:right w:val="none" w:sz="0" w:space="0" w:color="auto"/>
          </w:divBdr>
          <w:divsChild>
            <w:div w:id="1967391123">
              <w:marLeft w:val="0"/>
              <w:marRight w:val="0"/>
              <w:marTop w:val="0"/>
              <w:marBottom w:val="0"/>
              <w:divBdr>
                <w:top w:val="none" w:sz="0" w:space="0" w:color="auto"/>
                <w:left w:val="none" w:sz="0" w:space="0" w:color="auto"/>
                <w:bottom w:val="none" w:sz="0" w:space="0" w:color="auto"/>
                <w:right w:val="none" w:sz="0" w:space="0" w:color="auto"/>
              </w:divBdr>
              <w:divsChild>
                <w:div w:id="15724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4566">
      <w:bodyDiv w:val="1"/>
      <w:marLeft w:val="0"/>
      <w:marRight w:val="0"/>
      <w:marTop w:val="0"/>
      <w:marBottom w:val="0"/>
      <w:divBdr>
        <w:top w:val="none" w:sz="0" w:space="0" w:color="auto"/>
        <w:left w:val="none" w:sz="0" w:space="0" w:color="auto"/>
        <w:bottom w:val="none" w:sz="0" w:space="0" w:color="auto"/>
        <w:right w:val="none" w:sz="0" w:space="0" w:color="auto"/>
      </w:divBdr>
    </w:div>
    <w:div w:id="996495847">
      <w:bodyDiv w:val="1"/>
      <w:marLeft w:val="0"/>
      <w:marRight w:val="0"/>
      <w:marTop w:val="0"/>
      <w:marBottom w:val="0"/>
      <w:divBdr>
        <w:top w:val="none" w:sz="0" w:space="0" w:color="auto"/>
        <w:left w:val="none" w:sz="0" w:space="0" w:color="auto"/>
        <w:bottom w:val="none" w:sz="0" w:space="0" w:color="auto"/>
        <w:right w:val="none" w:sz="0" w:space="0" w:color="auto"/>
      </w:divBdr>
      <w:divsChild>
        <w:div w:id="1223755011">
          <w:marLeft w:val="0"/>
          <w:marRight w:val="0"/>
          <w:marTop w:val="0"/>
          <w:marBottom w:val="0"/>
          <w:divBdr>
            <w:top w:val="none" w:sz="0" w:space="0" w:color="auto"/>
            <w:left w:val="none" w:sz="0" w:space="0" w:color="auto"/>
            <w:bottom w:val="none" w:sz="0" w:space="0" w:color="auto"/>
            <w:right w:val="none" w:sz="0" w:space="0" w:color="auto"/>
          </w:divBdr>
          <w:divsChild>
            <w:div w:id="94787792">
              <w:marLeft w:val="0"/>
              <w:marRight w:val="0"/>
              <w:marTop w:val="0"/>
              <w:marBottom w:val="0"/>
              <w:divBdr>
                <w:top w:val="none" w:sz="0" w:space="0" w:color="auto"/>
                <w:left w:val="none" w:sz="0" w:space="0" w:color="auto"/>
                <w:bottom w:val="none" w:sz="0" w:space="0" w:color="auto"/>
                <w:right w:val="none" w:sz="0" w:space="0" w:color="auto"/>
              </w:divBdr>
              <w:divsChild>
                <w:div w:id="19844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040">
      <w:bodyDiv w:val="1"/>
      <w:marLeft w:val="0"/>
      <w:marRight w:val="0"/>
      <w:marTop w:val="0"/>
      <w:marBottom w:val="0"/>
      <w:divBdr>
        <w:top w:val="none" w:sz="0" w:space="0" w:color="auto"/>
        <w:left w:val="none" w:sz="0" w:space="0" w:color="auto"/>
        <w:bottom w:val="none" w:sz="0" w:space="0" w:color="auto"/>
        <w:right w:val="none" w:sz="0" w:space="0" w:color="auto"/>
      </w:divBdr>
    </w:div>
    <w:div w:id="1021785833">
      <w:bodyDiv w:val="1"/>
      <w:marLeft w:val="0"/>
      <w:marRight w:val="0"/>
      <w:marTop w:val="0"/>
      <w:marBottom w:val="0"/>
      <w:divBdr>
        <w:top w:val="none" w:sz="0" w:space="0" w:color="auto"/>
        <w:left w:val="none" w:sz="0" w:space="0" w:color="auto"/>
        <w:bottom w:val="none" w:sz="0" w:space="0" w:color="auto"/>
        <w:right w:val="none" w:sz="0" w:space="0" w:color="auto"/>
      </w:divBdr>
    </w:div>
    <w:div w:id="1057702407">
      <w:bodyDiv w:val="1"/>
      <w:marLeft w:val="0"/>
      <w:marRight w:val="0"/>
      <w:marTop w:val="0"/>
      <w:marBottom w:val="0"/>
      <w:divBdr>
        <w:top w:val="none" w:sz="0" w:space="0" w:color="auto"/>
        <w:left w:val="none" w:sz="0" w:space="0" w:color="auto"/>
        <w:bottom w:val="none" w:sz="0" w:space="0" w:color="auto"/>
        <w:right w:val="none" w:sz="0" w:space="0" w:color="auto"/>
      </w:divBdr>
    </w:div>
    <w:div w:id="1091586904">
      <w:bodyDiv w:val="1"/>
      <w:marLeft w:val="0"/>
      <w:marRight w:val="0"/>
      <w:marTop w:val="0"/>
      <w:marBottom w:val="0"/>
      <w:divBdr>
        <w:top w:val="none" w:sz="0" w:space="0" w:color="auto"/>
        <w:left w:val="none" w:sz="0" w:space="0" w:color="auto"/>
        <w:bottom w:val="none" w:sz="0" w:space="0" w:color="auto"/>
        <w:right w:val="none" w:sz="0" w:space="0" w:color="auto"/>
      </w:divBdr>
    </w:div>
    <w:div w:id="1110860953">
      <w:bodyDiv w:val="1"/>
      <w:marLeft w:val="0"/>
      <w:marRight w:val="0"/>
      <w:marTop w:val="0"/>
      <w:marBottom w:val="0"/>
      <w:divBdr>
        <w:top w:val="none" w:sz="0" w:space="0" w:color="auto"/>
        <w:left w:val="none" w:sz="0" w:space="0" w:color="auto"/>
        <w:bottom w:val="none" w:sz="0" w:space="0" w:color="auto"/>
        <w:right w:val="none" w:sz="0" w:space="0" w:color="auto"/>
      </w:divBdr>
    </w:div>
    <w:div w:id="1157114749">
      <w:bodyDiv w:val="1"/>
      <w:marLeft w:val="0"/>
      <w:marRight w:val="0"/>
      <w:marTop w:val="0"/>
      <w:marBottom w:val="0"/>
      <w:divBdr>
        <w:top w:val="none" w:sz="0" w:space="0" w:color="auto"/>
        <w:left w:val="none" w:sz="0" w:space="0" w:color="auto"/>
        <w:bottom w:val="none" w:sz="0" w:space="0" w:color="auto"/>
        <w:right w:val="none" w:sz="0" w:space="0" w:color="auto"/>
      </w:divBdr>
      <w:divsChild>
        <w:div w:id="1229224803">
          <w:marLeft w:val="0"/>
          <w:marRight w:val="0"/>
          <w:marTop w:val="0"/>
          <w:marBottom w:val="0"/>
          <w:divBdr>
            <w:top w:val="none" w:sz="0" w:space="0" w:color="auto"/>
            <w:left w:val="none" w:sz="0" w:space="0" w:color="auto"/>
            <w:bottom w:val="none" w:sz="0" w:space="0" w:color="auto"/>
            <w:right w:val="none" w:sz="0" w:space="0" w:color="auto"/>
          </w:divBdr>
          <w:divsChild>
            <w:div w:id="1951617946">
              <w:marLeft w:val="0"/>
              <w:marRight w:val="0"/>
              <w:marTop w:val="0"/>
              <w:marBottom w:val="0"/>
              <w:divBdr>
                <w:top w:val="none" w:sz="0" w:space="0" w:color="auto"/>
                <w:left w:val="none" w:sz="0" w:space="0" w:color="auto"/>
                <w:bottom w:val="none" w:sz="0" w:space="0" w:color="auto"/>
                <w:right w:val="none" w:sz="0" w:space="0" w:color="auto"/>
              </w:divBdr>
              <w:divsChild>
                <w:div w:id="18558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089">
      <w:bodyDiv w:val="1"/>
      <w:marLeft w:val="0"/>
      <w:marRight w:val="0"/>
      <w:marTop w:val="0"/>
      <w:marBottom w:val="0"/>
      <w:divBdr>
        <w:top w:val="none" w:sz="0" w:space="0" w:color="auto"/>
        <w:left w:val="none" w:sz="0" w:space="0" w:color="auto"/>
        <w:bottom w:val="none" w:sz="0" w:space="0" w:color="auto"/>
        <w:right w:val="none" w:sz="0" w:space="0" w:color="auto"/>
      </w:divBdr>
    </w:div>
    <w:div w:id="1259412410">
      <w:bodyDiv w:val="1"/>
      <w:marLeft w:val="0"/>
      <w:marRight w:val="0"/>
      <w:marTop w:val="0"/>
      <w:marBottom w:val="0"/>
      <w:divBdr>
        <w:top w:val="none" w:sz="0" w:space="0" w:color="auto"/>
        <w:left w:val="none" w:sz="0" w:space="0" w:color="auto"/>
        <w:bottom w:val="none" w:sz="0" w:space="0" w:color="auto"/>
        <w:right w:val="none" w:sz="0" w:space="0" w:color="auto"/>
      </w:divBdr>
    </w:div>
    <w:div w:id="1420327085">
      <w:bodyDiv w:val="1"/>
      <w:marLeft w:val="0"/>
      <w:marRight w:val="0"/>
      <w:marTop w:val="0"/>
      <w:marBottom w:val="0"/>
      <w:divBdr>
        <w:top w:val="none" w:sz="0" w:space="0" w:color="auto"/>
        <w:left w:val="none" w:sz="0" w:space="0" w:color="auto"/>
        <w:bottom w:val="none" w:sz="0" w:space="0" w:color="auto"/>
        <w:right w:val="none" w:sz="0" w:space="0" w:color="auto"/>
      </w:divBdr>
    </w:div>
    <w:div w:id="1442338023">
      <w:bodyDiv w:val="1"/>
      <w:marLeft w:val="0"/>
      <w:marRight w:val="0"/>
      <w:marTop w:val="0"/>
      <w:marBottom w:val="0"/>
      <w:divBdr>
        <w:top w:val="none" w:sz="0" w:space="0" w:color="auto"/>
        <w:left w:val="none" w:sz="0" w:space="0" w:color="auto"/>
        <w:bottom w:val="none" w:sz="0" w:space="0" w:color="auto"/>
        <w:right w:val="none" w:sz="0" w:space="0" w:color="auto"/>
      </w:divBdr>
    </w:div>
    <w:div w:id="1474978214">
      <w:bodyDiv w:val="1"/>
      <w:marLeft w:val="0"/>
      <w:marRight w:val="0"/>
      <w:marTop w:val="0"/>
      <w:marBottom w:val="0"/>
      <w:divBdr>
        <w:top w:val="none" w:sz="0" w:space="0" w:color="auto"/>
        <w:left w:val="none" w:sz="0" w:space="0" w:color="auto"/>
        <w:bottom w:val="none" w:sz="0" w:space="0" w:color="auto"/>
        <w:right w:val="none" w:sz="0" w:space="0" w:color="auto"/>
      </w:divBdr>
      <w:divsChild>
        <w:div w:id="1511524952">
          <w:marLeft w:val="0"/>
          <w:marRight w:val="0"/>
          <w:marTop w:val="0"/>
          <w:marBottom w:val="0"/>
          <w:divBdr>
            <w:top w:val="none" w:sz="0" w:space="0" w:color="auto"/>
            <w:left w:val="none" w:sz="0" w:space="0" w:color="auto"/>
            <w:bottom w:val="none" w:sz="0" w:space="0" w:color="auto"/>
            <w:right w:val="none" w:sz="0" w:space="0" w:color="auto"/>
          </w:divBdr>
          <w:divsChild>
            <w:div w:id="2143034436">
              <w:marLeft w:val="0"/>
              <w:marRight w:val="0"/>
              <w:marTop w:val="0"/>
              <w:marBottom w:val="0"/>
              <w:divBdr>
                <w:top w:val="none" w:sz="0" w:space="0" w:color="auto"/>
                <w:left w:val="none" w:sz="0" w:space="0" w:color="auto"/>
                <w:bottom w:val="none" w:sz="0" w:space="0" w:color="auto"/>
                <w:right w:val="none" w:sz="0" w:space="0" w:color="auto"/>
              </w:divBdr>
              <w:divsChild>
                <w:div w:id="13675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3256">
      <w:bodyDiv w:val="1"/>
      <w:marLeft w:val="0"/>
      <w:marRight w:val="0"/>
      <w:marTop w:val="0"/>
      <w:marBottom w:val="0"/>
      <w:divBdr>
        <w:top w:val="none" w:sz="0" w:space="0" w:color="auto"/>
        <w:left w:val="none" w:sz="0" w:space="0" w:color="auto"/>
        <w:bottom w:val="none" w:sz="0" w:space="0" w:color="auto"/>
        <w:right w:val="none" w:sz="0" w:space="0" w:color="auto"/>
      </w:divBdr>
      <w:divsChild>
        <w:div w:id="2132894155">
          <w:marLeft w:val="0"/>
          <w:marRight w:val="0"/>
          <w:marTop w:val="0"/>
          <w:marBottom w:val="0"/>
          <w:divBdr>
            <w:top w:val="none" w:sz="0" w:space="0" w:color="auto"/>
            <w:left w:val="none" w:sz="0" w:space="0" w:color="auto"/>
            <w:bottom w:val="none" w:sz="0" w:space="0" w:color="auto"/>
            <w:right w:val="none" w:sz="0" w:space="0" w:color="auto"/>
          </w:divBdr>
          <w:divsChild>
            <w:div w:id="1801410679">
              <w:marLeft w:val="0"/>
              <w:marRight w:val="0"/>
              <w:marTop w:val="0"/>
              <w:marBottom w:val="0"/>
              <w:divBdr>
                <w:top w:val="none" w:sz="0" w:space="0" w:color="auto"/>
                <w:left w:val="none" w:sz="0" w:space="0" w:color="auto"/>
                <w:bottom w:val="none" w:sz="0" w:space="0" w:color="auto"/>
                <w:right w:val="none" w:sz="0" w:space="0" w:color="auto"/>
              </w:divBdr>
              <w:divsChild>
                <w:div w:id="20277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2307">
      <w:bodyDiv w:val="1"/>
      <w:marLeft w:val="0"/>
      <w:marRight w:val="0"/>
      <w:marTop w:val="0"/>
      <w:marBottom w:val="0"/>
      <w:divBdr>
        <w:top w:val="none" w:sz="0" w:space="0" w:color="auto"/>
        <w:left w:val="none" w:sz="0" w:space="0" w:color="auto"/>
        <w:bottom w:val="none" w:sz="0" w:space="0" w:color="auto"/>
        <w:right w:val="none" w:sz="0" w:space="0" w:color="auto"/>
      </w:divBdr>
      <w:divsChild>
        <w:div w:id="906375134">
          <w:marLeft w:val="0"/>
          <w:marRight w:val="0"/>
          <w:marTop w:val="0"/>
          <w:marBottom w:val="0"/>
          <w:divBdr>
            <w:top w:val="none" w:sz="0" w:space="0" w:color="auto"/>
            <w:left w:val="none" w:sz="0" w:space="0" w:color="auto"/>
            <w:bottom w:val="none" w:sz="0" w:space="0" w:color="auto"/>
            <w:right w:val="none" w:sz="0" w:space="0" w:color="auto"/>
          </w:divBdr>
          <w:divsChild>
            <w:div w:id="984043607">
              <w:marLeft w:val="0"/>
              <w:marRight w:val="0"/>
              <w:marTop w:val="0"/>
              <w:marBottom w:val="0"/>
              <w:divBdr>
                <w:top w:val="none" w:sz="0" w:space="0" w:color="auto"/>
                <w:left w:val="none" w:sz="0" w:space="0" w:color="auto"/>
                <w:bottom w:val="none" w:sz="0" w:space="0" w:color="auto"/>
                <w:right w:val="none" w:sz="0" w:space="0" w:color="auto"/>
              </w:divBdr>
              <w:divsChild>
                <w:div w:id="1496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2095">
      <w:bodyDiv w:val="1"/>
      <w:marLeft w:val="0"/>
      <w:marRight w:val="0"/>
      <w:marTop w:val="0"/>
      <w:marBottom w:val="0"/>
      <w:divBdr>
        <w:top w:val="none" w:sz="0" w:space="0" w:color="auto"/>
        <w:left w:val="none" w:sz="0" w:space="0" w:color="auto"/>
        <w:bottom w:val="none" w:sz="0" w:space="0" w:color="auto"/>
        <w:right w:val="none" w:sz="0" w:space="0" w:color="auto"/>
      </w:divBdr>
      <w:divsChild>
        <w:div w:id="1129058254">
          <w:marLeft w:val="0"/>
          <w:marRight w:val="0"/>
          <w:marTop w:val="0"/>
          <w:marBottom w:val="0"/>
          <w:divBdr>
            <w:top w:val="none" w:sz="0" w:space="0" w:color="auto"/>
            <w:left w:val="none" w:sz="0" w:space="0" w:color="auto"/>
            <w:bottom w:val="none" w:sz="0" w:space="0" w:color="auto"/>
            <w:right w:val="none" w:sz="0" w:space="0" w:color="auto"/>
          </w:divBdr>
          <w:divsChild>
            <w:div w:id="1422603399">
              <w:marLeft w:val="0"/>
              <w:marRight w:val="0"/>
              <w:marTop w:val="0"/>
              <w:marBottom w:val="0"/>
              <w:divBdr>
                <w:top w:val="none" w:sz="0" w:space="0" w:color="auto"/>
                <w:left w:val="none" w:sz="0" w:space="0" w:color="auto"/>
                <w:bottom w:val="none" w:sz="0" w:space="0" w:color="auto"/>
                <w:right w:val="none" w:sz="0" w:space="0" w:color="auto"/>
              </w:divBdr>
              <w:divsChild>
                <w:div w:id="17752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2329">
      <w:bodyDiv w:val="1"/>
      <w:marLeft w:val="0"/>
      <w:marRight w:val="0"/>
      <w:marTop w:val="0"/>
      <w:marBottom w:val="0"/>
      <w:divBdr>
        <w:top w:val="none" w:sz="0" w:space="0" w:color="auto"/>
        <w:left w:val="none" w:sz="0" w:space="0" w:color="auto"/>
        <w:bottom w:val="none" w:sz="0" w:space="0" w:color="auto"/>
        <w:right w:val="none" w:sz="0" w:space="0" w:color="auto"/>
      </w:divBdr>
    </w:div>
    <w:div w:id="1853180013">
      <w:bodyDiv w:val="1"/>
      <w:marLeft w:val="0"/>
      <w:marRight w:val="0"/>
      <w:marTop w:val="0"/>
      <w:marBottom w:val="0"/>
      <w:divBdr>
        <w:top w:val="none" w:sz="0" w:space="0" w:color="auto"/>
        <w:left w:val="none" w:sz="0" w:space="0" w:color="auto"/>
        <w:bottom w:val="none" w:sz="0" w:space="0" w:color="auto"/>
        <w:right w:val="none" w:sz="0" w:space="0" w:color="auto"/>
      </w:divBdr>
    </w:div>
    <w:div w:id="1858495880">
      <w:bodyDiv w:val="1"/>
      <w:marLeft w:val="0"/>
      <w:marRight w:val="0"/>
      <w:marTop w:val="0"/>
      <w:marBottom w:val="0"/>
      <w:divBdr>
        <w:top w:val="none" w:sz="0" w:space="0" w:color="auto"/>
        <w:left w:val="none" w:sz="0" w:space="0" w:color="auto"/>
        <w:bottom w:val="none" w:sz="0" w:space="0" w:color="auto"/>
        <w:right w:val="none" w:sz="0" w:space="0" w:color="auto"/>
      </w:divBdr>
    </w:div>
    <w:div w:id="1930887509">
      <w:bodyDiv w:val="1"/>
      <w:marLeft w:val="0"/>
      <w:marRight w:val="0"/>
      <w:marTop w:val="0"/>
      <w:marBottom w:val="0"/>
      <w:divBdr>
        <w:top w:val="none" w:sz="0" w:space="0" w:color="auto"/>
        <w:left w:val="none" w:sz="0" w:space="0" w:color="auto"/>
        <w:bottom w:val="none" w:sz="0" w:space="0" w:color="auto"/>
        <w:right w:val="none" w:sz="0" w:space="0" w:color="auto"/>
      </w:divBdr>
    </w:div>
    <w:div w:id="1952742577">
      <w:bodyDiv w:val="1"/>
      <w:marLeft w:val="0"/>
      <w:marRight w:val="0"/>
      <w:marTop w:val="0"/>
      <w:marBottom w:val="0"/>
      <w:divBdr>
        <w:top w:val="none" w:sz="0" w:space="0" w:color="auto"/>
        <w:left w:val="none" w:sz="0" w:space="0" w:color="auto"/>
        <w:bottom w:val="none" w:sz="0" w:space="0" w:color="auto"/>
        <w:right w:val="none" w:sz="0" w:space="0" w:color="auto"/>
      </w:divBdr>
      <w:divsChild>
        <w:div w:id="1036999716">
          <w:marLeft w:val="0"/>
          <w:marRight w:val="0"/>
          <w:marTop w:val="0"/>
          <w:marBottom w:val="0"/>
          <w:divBdr>
            <w:top w:val="none" w:sz="0" w:space="0" w:color="auto"/>
            <w:left w:val="none" w:sz="0" w:space="0" w:color="auto"/>
            <w:bottom w:val="none" w:sz="0" w:space="0" w:color="auto"/>
            <w:right w:val="none" w:sz="0" w:space="0" w:color="auto"/>
          </w:divBdr>
          <w:divsChild>
            <w:div w:id="136798540">
              <w:marLeft w:val="0"/>
              <w:marRight w:val="0"/>
              <w:marTop w:val="0"/>
              <w:marBottom w:val="0"/>
              <w:divBdr>
                <w:top w:val="none" w:sz="0" w:space="0" w:color="auto"/>
                <w:left w:val="none" w:sz="0" w:space="0" w:color="auto"/>
                <w:bottom w:val="none" w:sz="0" w:space="0" w:color="auto"/>
                <w:right w:val="none" w:sz="0" w:space="0" w:color="auto"/>
              </w:divBdr>
              <w:divsChild>
                <w:div w:id="4416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0315">
      <w:bodyDiv w:val="1"/>
      <w:marLeft w:val="0"/>
      <w:marRight w:val="0"/>
      <w:marTop w:val="0"/>
      <w:marBottom w:val="0"/>
      <w:divBdr>
        <w:top w:val="none" w:sz="0" w:space="0" w:color="auto"/>
        <w:left w:val="none" w:sz="0" w:space="0" w:color="auto"/>
        <w:bottom w:val="none" w:sz="0" w:space="0" w:color="auto"/>
        <w:right w:val="none" w:sz="0" w:space="0" w:color="auto"/>
      </w:divBdr>
    </w:div>
    <w:div w:id="1978609265">
      <w:bodyDiv w:val="1"/>
      <w:marLeft w:val="0"/>
      <w:marRight w:val="0"/>
      <w:marTop w:val="0"/>
      <w:marBottom w:val="0"/>
      <w:divBdr>
        <w:top w:val="none" w:sz="0" w:space="0" w:color="auto"/>
        <w:left w:val="none" w:sz="0" w:space="0" w:color="auto"/>
        <w:bottom w:val="none" w:sz="0" w:space="0" w:color="auto"/>
        <w:right w:val="none" w:sz="0" w:space="0" w:color="auto"/>
      </w:divBdr>
    </w:div>
    <w:div w:id="1991059249">
      <w:bodyDiv w:val="1"/>
      <w:marLeft w:val="0"/>
      <w:marRight w:val="0"/>
      <w:marTop w:val="0"/>
      <w:marBottom w:val="0"/>
      <w:divBdr>
        <w:top w:val="none" w:sz="0" w:space="0" w:color="auto"/>
        <w:left w:val="none" w:sz="0" w:space="0" w:color="auto"/>
        <w:bottom w:val="none" w:sz="0" w:space="0" w:color="auto"/>
        <w:right w:val="none" w:sz="0" w:space="0" w:color="auto"/>
      </w:divBdr>
    </w:div>
    <w:div w:id="2064521593">
      <w:bodyDiv w:val="1"/>
      <w:marLeft w:val="0"/>
      <w:marRight w:val="0"/>
      <w:marTop w:val="0"/>
      <w:marBottom w:val="0"/>
      <w:divBdr>
        <w:top w:val="none" w:sz="0" w:space="0" w:color="auto"/>
        <w:left w:val="none" w:sz="0" w:space="0" w:color="auto"/>
        <w:bottom w:val="none" w:sz="0" w:space="0" w:color="auto"/>
        <w:right w:val="none" w:sz="0" w:space="0" w:color="auto"/>
      </w:divBdr>
      <w:divsChild>
        <w:div w:id="1527526370">
          <w:marLeft w:val="0"/>
          <w:marRight w:val="0"/>
          <w:marTop w:val="0"/>
          <w:marBottom w:val="0"/>
          <w:divBdr>
            <w:top w:val="none" w:sz="0" w:space="0" w:color="auto"/>
            <w:left w:val="none" w:sz="0" w:space="0" w:color="auto"/>
            <w:bottom w:val="none" w:sz="0" w:space="0" w:color="auto"/>
            <w:right w:val="none" w:sz="0" w:space="0" w:color="auto"/>
          </w:divBdr>
          <w:divsChild>
            <w:div w:id="23213342">
              <w:marLeft w:val="0"/>
              <w:marRight w:val="0"/>
              <w:marTop w:val="0"/>
              <w:marBottom w:val="0"/>
              <w:divBdr>
                <w:top w:val="none" w:sz="0" w:space="0" w:color="auto"/>
                <w:left w:val="none" w:sz="0" w:space="0" w:color="auto"/>
                <w:bottom w:val="none" w:sz="0" w:space="0" w:color="auto"/>
                <w:right w:val="none" w:sz="0" w:space="0" w:color="auto"/>
              </w:divBdr>
              <w:divsChild>
                <w:div w:id="16661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0492">
      <w:bodyDiv w:val="1"/>
      <w:marLeft w:val="0"/>
      <w:marRight w:val="0"/>
      <w:marTop w:val="0"/>
      <w:marBottom w:val="0"/>
      <w:divBdr>
        <w:top w:val="none" w:sz="0" w:space="0" w:color="auto"/>
        <w:left w:val="none" w:sz="0" w:space="0" w:color="auto"/>
        <w:bottom w:val="none" w:sz="0" w:space="0" w:color="auto"/>
        <w:right w:val="none" w:sz="0" w:space="0" w:color="auto"/>
      </w:divBdr>
      <w:divsChild>
        <w:div w:id="212348841">
          <w:marLeft w:val="0"/>
          <w:marRight w:val="0"/>
          <w:marTop w:val="0"/>
          <w:marBottom w:val="0"/>
          <w:divBdr>
            <w:top w:val="none" w:sz="0" w:space="0" w:color="auto"/>
            <w:left w:val="none" w:sz="0" w:space="0" w:color="auto"/>
            <w:bottom w:val="none" w:sz="0" w:space="0" w:color="auto"/>
            <w:right w:val="none" w:sz="0" w:space="0" w:color="auto"/>
          </w:divBdr>
          <w:divsChild>
            <w:div w:id="751120611">
              <w:marLeft w:val="0"/>
              <w:marRight w:val="0"/>
              <w:marTop w:val="0"/>
              <w:marBottom w:val="0"/>
              <w:divBdr>
                <w:top w:val="none" w:sz="0" w:space="0" w:color="auto"/>
                <w:left w:val="none" w:sz="0" w:space="0" w:color="auto"/>
                <w:bottom w:val="none" w:sz="0" w:space="0" w:color="auto"/>
                <w:right w:val="none" w:sz="0" w:space="0" w:color="auto"/>
              </w:divBdr>
              <w:divsChild>
                <w:div w:id="174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nhs.uk/DataAnalytics/view?objectId=270934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health-and-social-care-integration-joining-up-care-for-people-places-and-populations/health-and-social-care-integration-joining-up-care-for-people-places-and-popul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ocal.gov.uk/parliament/briefings-and-responses/lga-response-health-and-social-care-integration-joining-care" TargetMode="External"/><Relationship Id="rId4" Type="http://schemas.openxmlformats.org/officeDocument/2006/relationships/webSettings" Target="webSettings.xml"/><Relationship Id="rId9" Type="http://schemas.openxmlformats.org/officeDocument/2006/relationships/hyperlink" Target="https://nhsproviders.org/media/693070/nhs-providers-next-day-briefing-integration-white-paper-fina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health.london/the-analystx-story" TargetMode="External"/><Relationship Id="rId2" Type="http://schemas.openxmlformats.org/officeDocument/2006/relationships/hyperlink" Target="https://www.lgcplus.com/politics/lgc-briefing/the-fundamental-flaw-in-health-and-care-integration-white-paper-16-02-2022/" TargetMode="External"/><Relationship Id="rId1" Type="http://schemas.openxmlformats.org/officeDocument/2006/relationships/hyperlink" Target="https://www.england.nhs.uk/wp-content/uploads/2021/06/B0660-ics-implementation-guidance-on-thriving-places.pdf?dm_i=21A8,7IYP9,184WW0,UNKB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5761</Words>
  <Characters>32843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Olivia O'Sullivan</cp:lastModifiedBy>
  <cp:revision>2</cp:revision>
  <dcterms:created xsi:type="dcterms:W3CDTF">2022-03-30T15:18:00Z</dcterms:created>
  <dcterms:modified xsi:type="dcterms:W3CDTF">2022-03-30T15:18:00Z</dcterms:modified>
</cp:coreProperties>
</file>