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D1D0D" w14:textId="77777777" w:rsidR="00E40A95" w:rsidRDefault="00E40A95" w:rsidP="006C3D22">
      <w:pPr>
        <w:rPr>
          <w:b/>
          <w:bCs/>
          <w:sz w:val="28"/>
          <w:szCs w:val="28"/>
        </w:rPr>
      </w:pPr>
      <w:r>
        <w:rPr>
          <w:b/>
          <w:bCs/>
          <w:sz w:val="28"/>
          <w:szCs w:val="28"/>
        </w:rPr>
        <w:t xml:space="preserve">Notes on </w:t>
      </w:r>
      <w:r w:rsidR="007E195A">
        <w:rPr>
          <w:b/>
          <w:bCs/>
          <w:sz w:val="28"/>
          <w:szCs w:val="28"/>
        </w:rPr>
        <w:t>Payment S</w:t>
      </w:r>
      <w:r w:rsidR="00901032">
        <w:rPr>
          <w:b/>
          <w:bCs/>
          <w:sz w:val="28"/>
          <w:szCs w:val="28"/>
        </w:rPr>
        <w:t>chemes</w:t>
      </w:r>
      <w:r w:rsidR="007E195A">
        <w:rPr>
          <w:b/>
          <w:bCs/>
          <w:sz w:val="28"/>
          <w:szCs w:val="28"/>
        </w:rPr>
        <w:t xml:space="preserve"> </w:t>
      </w:r>
      <w:r w:rsidR="003628EE">
        <w:rPr>
          <w:b/>
          <w:bCs/>
          <w:sz w:val="28"/>
          <w:szCs w:val="28"/>
        </w:rPr>
        <w:t xml:space="preserve">and Frameworks </w:t>
      </w:r>
      <w:r w:rsidR="007E195A">
        <w:rPr>
          <w:b/>
          <w:bCs/>
          <w:sz w:val="28"/>
          <w:szCs w:val="28"/>
        </w:rPr>
        <w:t xml:space="preserve">for </w:t>
      </w:r>
      <w:r w:rsidR="002413AA">
        <w:rPr>
          <w:b/>
          <w:bCs/>
          <w:sz w:val="28"/>
          <w:szCs w:val="28"/>
        </w:rPr>
        <w:t xml:space="preserve">Integrated </w:t>
      </w:r>
      <w:r w:rsidR="007E195A">
        <w:rPr>
          <w:b/>
          <w:bCs/>
          <w:sz w:val="28"/>
          <w:szCs w:val="28"/>
        </w:rPr>
        <w:t>Care System</w:t>
      </w:r>
      <w:r w:rsidR="00FB6A0A">
        <w:rPr>
          <w:b/>
          <w:bCs/>
          <w:sz w:val="28"/>
          <w:szCs w:val="28"/>
        </w:rPr>
        <w:t>s (ICSs)</w:t>
      </w:r>
      <w:r w:rsidR="006A7FA7">
        <w:rPr>
          <w:b/>
          <w:bCs/>
          <w:sz w:val="28"/>
          <w:szCs w:val="28"/>
        </w:rPr>
        <w:t>.</w:t>
      </w:r>
    </w:p>
    <w:p w14:paraId="453053B0" w14:textId="77777777" w:rsidR="00E40A95" w:rsidRDefault="00E40A95" w:rsidP="006C3D22">
      <w:pPr>
        <w:rPr>
          <w:b/>
          <w:bCs/>
          <w:sz w:val="28"/>
          <w:szCs w:val="28"/>
        </w:rPr>
      </w:pPr>
      <w:r>
        <w:rPr>
          <w:b/>
          <w:bCs/>
          <w:sz w:val="28"/>
          <w:szCs w:val="28"/>
        </w:rPr>
        <w:t xml:space="preserve">Martin Blanchard </w:t>
      </w:r>
      <w:r w:rsidR="00514DE1">
        <w:rPr>
          <w:b/>
          <w:bCs/>
          <w:sz w:val="28"/>
          <w:szCs w:val="28"/>
        </w:rPr>
        <w:t>Dec</w:t>
      </w:r>
      <w:r w:rsidR="00EB4857">
        <w:rPr>
          <w:b/>
          <w:bCs/>
          <w:sz w:val="28"/>
          <w:szCs w:val="28"/>
        </w:rPr>
        <w:t>ember</w:t>
      </w:r>
      <w:r w:rsidR="00514DE1">
        <w:rPr>
          <w:b/>
          <w:bCs/>
          <w:sz w:val="28"/>
          <w:szCs w:val="28"/>
        </w:rPr>
        <w:t xml:space="preserve"> </w:t>
      </w:r>
      <w:r>
        <w:rPr>
          <w:b/>
          <w:bCs/>
          <w:sz w:val="28"/>
          <w:szCs w:val="28"/>
        </w:rPr>
        <w:t>2021</w:t>
      </w:r>
    </w:p>
    <w:p w14:paraId="6A076A37" w14:textId="77777777" w:rsidR="00E40A95" w:rsidRDefault="00E40A95" w:rsidP="006C3D22">
      <w:pPr>
        <w:rPr>
          <w:b/>
          <w:bCs/>
          <w:sz w:val="28"/>
          <w:szCs w:val="28"/>
        </w:rPr>
      </w:pPr>
    </w:p>
    <w:p w14:paraId="3982B3AC" w14:textId="77777777" w:rsidR="00E40A95" w:rsidRDefault="00E40A95" w:rsidP="006C3D22">
      <w:pPr>
        <w:pStyle w:val="Body"/>
        <w:ind w:left="720"/>
      </w:pPr>
      <w:r w:rsidRPr="00C6151D">
        <w:rPr>
          <w:rFonts w:asciiTheme="minorHAnsi" w:hAnsiTheme="minorHAnsi"/>
          <w:i/>
          <w:iCs/>
          <w:sz w:val="24"/>
          <w:szCs w:val="24"/>
        </w:rPr>
        <w:t xml:space="preserve">Economics is a political argument. It is not-and can never be-a science; there are no objective truths in economics that can be established independently of political, and frequently moral, judgements. </w:t>
      </w:r>
      <w:proofErr w:type="gramStart"/>
      <w:r w:rsidRPr="00C6151D">
        <w:rPr>
          <w:rFonts w:asciiTheme="minorHAnsi" w:hAnsiTheme="minorHAnsi"/>
          <w:i/>
          <w:iCs/>
          <w:sz w:val="24"/>
          <w:szCs w:val="24"/>
        </w:rPr>
        <w:t>Therefore</w:t>
      </w:r>
      <w:proofErr w:type="gramEnd"/>
      <w:r w:rsidRPr="00C6151D">
        <w:rPr>
          <w:rFonts w:asciiTheme="minorHAnsi" w:hAnsiTheme="minorHAnsi"/>
          <w:i/>
          <w:iCs/>
          <w:sz w:val="24"/>
          <w:szCs w:val="24"/>
        </w:rPr>
        <w:t xml:space="preserve"> when faced with an economic argument you must ask the age old question ‘cui </w:t>
      </w:r>
      <w:r w:rsidRPr="00DC2378">
        <w:rPr>
          <w:rFonts w:asciiTheme="minorHAnsi" w:hAnsiTheme="minorHAnsi"/>
          <w:i/>
          <w:iCs/>
          <w:sz w:val="24"/>
          <w:szCs w:val="24"/>
        </w:rPr>
        <w:t>bono’</w:t>
      </w:r>
      <w:r>
        <w:t xml:space="preserve">? </w:t>
      </w:r>
      <w:r w:rsidRPr="00C6151D">
        <w:t>Ha</w:t>
      </w:r>
      <w:r>
        <w:t>-Joon Chang 2014</w:t>
      </w:r>
      <w:r>
        <w:rPr>
          <w:rStyle w:val="FootnoteReference"/>
        </w:rPr>
        <w:footnoteReference w:id="1"/>
      </w:r>
    </w:p>
    <w:p w14:paraId="66339257" w14:textId="77777777" w:rsidR="008F2BD0" w:rsidRDefault="008F2BD0" w:rsidP="006C3D22">
      <w:pPr>
        <w:pStyle w:val="Body"/>
        <w:ind w:left="720"/>
        <w:rPr>
          <w:i/>
          <w:iCs/>
        </w:rPr>
      </w:pPr>
    </w:p>
    <w:p w14:paraId="63821109" w14:textId="77777777" w:rsidR="008F2BD0" w:rsidRPr="00476628" w:rsidRDefault="008F2BD0" w:rsidP="006C3D22">
      <w:pPr>
        <w:pStyle w:val="Body"/>
        <w:ind w:left="720"/>
        <w:rPr>
          <w:b/>
          <w:bCs/>
        </w:rPr>
      </w:pPr>
    </w:p>
    <w:p w14:paraId="0FD462A9" w14:textId="77777777" w:rsidR="00E40A95" w:rsidRDefault="00476628" w:rsidP="006C3D22">
      <w:pPr>
        <w:rPr>
          <w:b/>
          <w:bCs/>
          <w:sz w:val="28"/>
          <w:szCs w:val="28"/>
        </w:rPr>
      </w:pPr>
      <w:r>
        <w:rPr>
          <w:b/>
          <w:bCs/>
          <w:sz w:val="28"/>
          <w:szCs w:val="28"/>
        </w:rPr>
        <w:t>Introduction</w:t>
      </w:r>
    </w:p>
    <w:p w14:paraId="61D99F72" w14:textId="77777777" w:rsidR="00476628" w:rsidRDefault="00476628" w:rsidP="006C3D22">
      <w:pPr>
        <w:rPr>
          <w:b/>
          <w:bCs/>
          <w:sz w:val="28"/>
          <w:szCs w:val="28"/>
        </w:rPr>
      </w:pPr>
    </w:p>
    <w:p w14:paraId="123EA442" w14:textId="77777777" w:rsidR="00E40A95" w:rsidRPr="00AB1633" w:rsidRDefault="00E40A95" w:rsidP="00693172">
      <w:pPr>
        <w:rPr>
          <w:sz w:val="28"/>
          <w:szCs w:val="28"/>
        </w:rPr>
      </w:pPr>
      <w:r>
        <w:rPr>
          <w:sz w:val="28"/>
          <w:szCs w:val="28"/>
        </w:rPr>
        <w:t xml:space="preserve">In England </w:t>
      </w:r>
      <w:r w:rsidR="0022657A">
        <w:rPr>
          <w:sz w:val="28"/>
          <w:szCs w:val="28"/>
        </w:rPr>
        <w:t>cuts to state-funded healthcare provision ha</w:t>
      </w:r>
      <w:r w:rsidR="00BF2A2E">
        <w:rPr>
          <w:sz w:val="28"/>
          <w:szCs w:val="28"/>
        </w:rPr>
        <w:t>ve</w:t>
      </w:r>
      <w:r w:rsidR="0022657A">
        <w:rPr>
          <w:sz w:val="28"/>
          <w:szCs w:val="28"/>
        </w:rPr>
        <w:t xml:space="preserve"> </w:t>
      </w:r>
      <w:r>
        <w:rPr>
          <w:sz w:val="28"/>
          <w:szCs w:val="28"/>
        </w:rPr>
        <w:t xml:space="preserve">been presented to staff and the public as a ‘transformation’ </w:t>
      </w:r>
      <w:r w:rsidR="00043785">
        <w:rPr>
          <w:sz w:val="28"/>
          <w:szCs w:val="28"/>
        </w:rPr>
        <w:t>into ‘integrated’ care;</w:t>
      </w:r>
      <w:r>
        <w:rPr>
          <w:sz w:val="28"/>
          <w:szCs w:val="28"/>
        </w:rPr>
        <w:t xml:space="preserve"> how care has to be delivered for services to continue sustainably into the future. </w:t>
      </w:r>
      <w:r w:rsidR="00C663F4">
        <w:rPr>
          <w:sz w:val="28"/>
          <w:szCs w:val="28"/>
        </w:rPr>
        <w:t xml:space="preserve">We have </w:t>
      </w:r>
      <w:r w:rsidR="00BC1BE5">
        <w:rPr>
          <w:sz w:val="28"/>
          <w:szCs w:val="28"/>
        </w:rPr>
        <w:t>been given</w:t>
      </w:r>
      <w:r w:rsidR="00C663F4">
        <w:rPr>
          <w:sz w:val="28"/>
          <w:szCs w:val="28"/>
        </w:rPr>
        <w:t xml:space="preserve"> the FYF</w:t>
      </w:r>
      <w:r w:rsidR="00D41F83">
        <w:rPr>
          <w:sz w:val="28"/>
          <w:szCs w:val="28"/>
        </w:rPr>
        <w:t>V</w:t>
      </w:r>
      <w:r w:rsidR="009852D3">
        <w:rPr>
          <w:rStyle w:val="FootnoteReference"/>
          <w:sz w:val="28"/>
          <w:szCs w:val="28"/>
        </w:rPr>
        <w:footnoteReference w:id="2"/>
      </w:r>
      <w:r w:rsidR="00D41F83">
        <w:rPr>
          <w:sz w:val="28"/>
          <w:szCs w:val="28"/>
        </w:rPr>
        <w:t xml:space="preserve"> and LTP</w:t>
      </w:r>
      <w:r w:rsidR="00990561">
        <w:rPr>
          <w:rStyle w:val="FootnoteReference"/>
          <w:sz w:val="28"/>
          <w:szCs w:val="28"/>
        </w:rPr>
        <w:footnoteReference w:id="3"/>
      </w:r>
      <w:r w:rsidR="00D41F83">
        <w:rPr>
          <w:sz w:val="28"/>
          <w:szCs w:val="28"/>
        </w:rPr>
        <w:t xml:space="preserve"> </w:t>
      </w:r>
      <w:r w:rsidR="00401F38">
        <w:rPr>
          <w:sz w:val="28"/>
          <w:szCs w:val="28"/>
        </w:rPr>
        <w:t xml:space="preserve">and will </w:t>
      </w:r>
      <w:r w:rsidR="00B24CCB">
        <w:rPr>
          <w:sz w:val="28"/>
          <w:szCs w:val="28"/>
        </w:rPr>
        <w:t xml:space="preserve">very </w:t>
      </w:r>
      <w:r w:rsidR="00401F38">
        <w:rPr>
          <w:sz w:val="28"/>
          <w:szCs w:val="28"/>
        </w:rPr>
        <w:t>soon have</w:t>
      </w:r>
      <w:r w:rsidR="00B131ED">
        <w:rPr>
          <w:sz w:val="28"/>
          <w:szCs w:val="28"/>
        </w:rPr>
        <w:t xml:space="preserve"> 42 or so ICSs based on American Accountable Care </w:t>
      </w:r>
      <w:r w:rsidR="00C13465">
        <w:rPr>
          <w:sz w:val="28"/>
          <w:szCs w:val="28"/>
        </w:rPr>
        <w:t>Organisations</w:t>
      </w:r>
      <w:r w:rsidR="005B51CF">
        <w:rPr>
          <w:sz w:val="28"/>
          <w:szCs w:val="28"/>
        </w:rPr>
        <w:t xml:space="preserve"> (ACOs)</w:t>
      </w:r>
      <w:r w:rsidR="002E5BE1">
        <w:rPr>
          <w:rStyle w:val="FootnoteReference"/>
          <w:sz w:val="28"/>
          <w:szCs w:val="28"/>
        </w:rPr>
        <w:footnoteReference w:id="4"/>
      </w:r>
      <w:r w:rsidR="00DC35F8">
        <w:rPr>
          <w:sz w:val="28"/>
          <w:szCs w:val="28"/>
        </w:rPr>
        <w:t xml:space="preserve">. </w:t>
      </w:r>
      <w:r w:rsidR="002F051C">
        <w:rPr>
          <w:sz w:val="28"/>
          <w:szCs w:val="28"/>
        </w:rPr>
        <w:t xml:space="preserve">At </w:t>
      </w:r>
      <w:r w:rsidRPr="00AB1633">
        <w:rPr>
          <w:sz w:val="28"/>
          <w:szCs w:val="28"/>
        </w:rPr>
        <w:t xml:space="preserve"> </w:t>
      </w:r>
      <w:r>
        <w:rPr>
          <w:sz w:val="28"/>
          <w:szCs w:val="28"/>
        </w:rPr>
        <w:t xml:space="preserve">the same time </w:t>
      </w:r>
      <w:r w:rsidR="008249B0">
        <w:rPr>
          <w:color w:val="000000" w:themeColor="text1"/>
          <w:sz w:val="28"/>
          <w:szCs w:val="28"/>
        </w:rPr>
        <w:t xml:space="preserve">a </w:t>
      </w:r>
      <w:r w:rsidRPr="00AB1633">
        <w:rPr>
          <w:sz w:val="28"/>
          <w:szCs w:val="28"/>
        </w:rPr>
        <w:t xml:space="preserve">critical part of the process is for private companies to become ‘partners’ engaged to advise and assist, to provide services and create new markets </w:t>
      </w:r>
      <w:r w:rsidR="0017501B">
        <w:rPr>
          <w:sz w:val="28"/>
          <w:szCs w:val="28"/>
        </w:rPr>
        <w:t>and investment opportunities</w:t>
      </w:r>
      <w:r w:rsidR="00BE5DB1">
        <w:rPr>
          <w:rStyle w:val="FootnoteReference"/>
          <w:sz w:val="28"/>
          <w:szCs w:val="28"/>
        </w:rPr>
        <w:footnoteReference w:id="5"/>
      </w:r>
      <w:r w:rsidR="00BE5DB1">
        <w:rPr>
          <w:sz w:val="28"/>
          <w:szCs w:val="28"/>
        </w:rPr>
        <w:t xml:space="preserve">. </w:t>
      </w:r>
    </w:p>
    <w:p w14:paraId="0830217E" w14:textId="77777777" w:rsidR="00E40A95" w:rsidRDefault="00E40A95" w:rsidP="006C3D22">
      <w:pPr>
        <w:ind w:left="720"/>
        <w:rPr>
          <w:sz w:val="28"/>
          <w:szCs w:val="28"/>
        </w:rPr>
      </w:pPr>
    </w:p>
    <w:p w14:paraId="39818403" w14:textId="77777777" w:rsidR="00AE7EFF" w:rsidRDefault="0005697F" w:rsidP="00693172">
      <w:pPr>
        <w:rPr>
          <w:sz w:val="28"/>
          <w:szCs w:val="28"/>
        </w:rPr>
      </w:pPr>
      <w:r>
        <w:rPr>
          <w:sz w:val="28"/>
          <w:szCs w:val="28"/>
        </w:rPr>
        <w:t>A</w:t>
      </w:r>
      <w:r w:rsidR="003E196C">
        <w:rPr>
          <w:sz w:val="28"/>
          <w:szCs w:val="28"/>
        </w:rPr>
        <w:t xml:space="preserve"> key </w:t>
      </w:r>
      <w:r w:rsidR="003E04F4">
        <w:rPr>
          <w:sz w:val="28"/>
          <w:szCs w:val="28"/>
        </w:rPr>
        <w:t>element</w:t>
      </w:r>
      <w:r w:rsidR="00745A7F">
        <w:rPr>
          <w:sz w:val="28"/>
          <w:szCs w:val="28"/>
        </w:rPr>
        <w:t xml:space="preserve"> in</w:t>
      </w:r>
      <w:r w:rsidR="003E196C">
        <w:rPr>
          <w:sz w:val="28"/>
          <w:szCs w:val="28"/>
        </w:rPr>
        <w:t xml:space="preserve"> </w:t>
      </w:r>
      <w:r w:rsidR="00CA5D6D">
        <w:rPr>
          <w:sz w:val="28"/>
          <w:szCs w:val="28"/>
        </w:rPr>
        <w:t xml:space="preserve">the functioning of the ICSs </w:t>
      </w:r>
      <w:r w:rsidR="000D2786">
        <w:rPr>
          <w:sz w:val="28"/>
          <w:szCs w:val="28"/>
        </w:rPr>
        <w:t xml:space="preserve">in their attempt to provide </w:t>
      </w:r>
      <w:r w:rsidR="00934DDB">
        <w:rPr>
          <w:sz w:val="28"/>
          <w:szCs w:val="28"/>
        </w:rPr>
        <w:t>‘</w:t>
      </w:r>
      <w:r w:rsidR="00D2104F">
        <w:rPr>
          <w:sz w:val="28"/>
          <w:szCs w:val="28"/>
        </w:rPr>
        <w:t>financial sustainability</w:t>
      </w:r>
      <w:r w:rsidR="00934DDB">
        <w:rPr>
          <w:sz w:val="28"/>
          <w:szCs w:val="28"/>
        </w:rPr>
        <w:t>’</w:t>
      </w:r>
      <w:r w:rsidR="00D2104F">
        <w:rPr>
          <w:sz w:val="28"/>
          <w:szCs w:val="28"/>
        </w:rPr>
        <w:t xml:space="preserve"> </w:t>
      </w:r>
      <w:r w:rsidR="00960B6B">
        <w:rPr>
          <w:sz w:val="28"/>
          <w:szCs w:val="28"/>
        </w:rPr>
        <w:t xml:space="preserve">is </w:t>
      </w:r>
      <w:r w:rsidR="00183388">
        <w:rPr>
          <w:sz w:val="28"/>
          <w:szCs w:val="28"/>
        </w:rPr>
        <w:t xml:space="preserve">the </w:t>
      </w:r>
      <w:r w:rsidR="00E321A4">
        <w:rPr>
          <w:sz w:val="28"/>
          <w:szCs w:val="28"/>
        </w:rPr>
        <w:t>payment system</w:t>
      </w:r>
      <w:r w:rsidR="003E04F4">
        <w:rPr>
          <w:sz w:val="28"/>
          <w:szCs w:val="28"/>
        </w:rPr>
        <w:t xml:space="preserve">, </w:t>
      </w:r>
      <w:r w:rsidR="00793895">
        <w:rPr>
          <w:sz w:val="28"/>
          <w:szCs w:val="28"/>
        </w:rPr>
        <w:t>and it is this that th</w:t>
      </w:r>
      <w:r w:rsidR="00FB6B8D">
        <w:rPr>
          <w:sz w:val="28"/>
          <w:szCs w:val="28"/>
        </w:rPr>
        <w:t xml:space="preserve">e present </w:t>
      </w:r>
      <w:r w:rsidR="00793895">
        <w:rPr>
          <w:sz w:val="28"/>
          <w:szCs w:val="28"/>
        </w:rPr>
        <w:t xml:space="preserve">paper will </w:t>
      </w:r>
      <w:r w:rsidR="00750D07">
        <w:rPr>
          <w:sz w:val="28"/>
          <w:szCs w:val="28"/>
        </w:rPr>
        <w:t xml:space="preserve">mainly </w:t>
      </w:r>
      <w:r w:rsidR="00793895">
        <w:rPr>
          <w:sz w:val="28"/>
          <w:szCs w:val="28"/>
        </w:rPr>
        <w:t xml:space="preserve">consider. </w:t>
      </w:r>
    </w:p>
    <w:p w14:paraId="235B668B" w14:textId="77777777" w:rsidR="009D504B" w:rsidRDefault="009D504B" w:rsidP="00AE7EFF">
      <w:pPr>
        <w:ind w:left="720"/>
        <w:rPr>
          <w:b/>
          <w:bCs/>
          <w:sz w:val="28"/>
          <w:szCs w:val="28"/>
        </w:rPr>
      </w:pPr>
    </w:p>
    <w:p w14:paraId="38B24B7F" w14:textId="77777777" w:rsidR="00E40A95" w:rsidRPr="00AE7EFF" w:rsidRDefault="00480391" w:rsidP="00693172">
      <w:pPr>
        <w:rPr>
          <w:sz w:val="28"/>
          <w:szCs w:val="28"/>
        </w:rPr>
      </w:pPr>
      <w:r>
        <w:rPr>
          <w:b/>
          <w:bCs/>
          <w:sz w:val="28"/>
          <w:szCs w:val="28"/>
        </w:rPr>
        <w:t xml:space="preserve">Integrated care </w:t>
      </w:r>
      <w:r w:rsidR="006F661C">
        <w:rPr>
          <w:b/>
          <w:bCs/>
          <w:sz w:val="28"/>
          <w:szCs w:val="28"/>
        </w:rPr>
        <w:t xml:space="preserve">as </w:t>
      </w:r>
      <w:r w:rsidR="00E40A95">
        <w:rPr>
          <w:b/>
          <w:bCs/>
          <w:sz w:val="28"/>
          <w:szCs w:val="28"/>
        </w:rPr>
        <w:t>Accountable</w:t>
      </w:r>
      <w:r w:rsidR="00E40A95" w:rsidRPr="005662C8">
        <w:rPr>
          <w:b/>
          <w:bCs/>
          <w:sz w:val="28"/>
          <w:szCs w:val="28"/>
        </w:rPr>
        <w:t xml:space="preserve"> care</w:t>
      </w:r>
      <w:r w:rsidR="00E40A95">
        <w:rPr>
          <w:rStyle w:val="FootnoteReference"/>
          <w:b/>
          <w:bCs/>
          <w:sz w:val="28"/>
          <w:szCs w:val="28"/>
        </w:rPr>
        <w:footnoteReference w:id="6"/>
      </w:r>
    </w:p>
    <w:p w14:paraId="2B0709E6" w14:textId="77777777" w:rsidR="00E40A95" w:rsidRDefault="00E40A95" w:rsidP="006C3D22">
      <w:pPr>
        <w:rPr>
          <w:b/>
          <w:bCs/>
          <w:sz w:val="28"/>
          <w:szCs w:val="28"/>
        </w:rPr>
      </w:pPr>
    </w:p>
    <w:p w14:paraId="41F6F5C6" w14:textId="4EDA86B3" w:rsidR="000B4CC8" w:rsidRDefault="00E40A95" w:rsidP="00693172">
      <w:pPr>
        <w:rPr>
          <w:sz w:val="28"/>
          <w:szCs w:val="28"/>
        </w:rPr>
      </w:pPr>
      <w:r w:rsidRPr="00693172">
        <w:rPr>
          <w:sz w:val="28"/>
          <w:szCs w:val="28"/>
        </w:rPr>
        <w:t xml:space="preserve">While services in the NHS have endeavoured over the decades to improve how they detect, </w:t>
      </w:r>
      <w:proofErr w:type="gramStart"/>
      <w:r w:rsidRPr="00693172">
        <w:rPr>
          <w:sz w:val="28"/>
          <w:szCs w:val="28"/>
        </w:rPr>
        <w:t>diagnose</w:t>
      </w:r>
      <w:proofErr w:type="gramEnd"/>
      <w:r w:rsidRPr="00693172">
        <w:rPr>
          <w:sz w:val="28"/>
          <w:szCs w:val="28"/>
        </w:rPr>
        <w:t xml:space="preserve"> and manage disease in a cost effective way</w:t>
      </w:r>
      <w:r w:rsidR="00300C05" w:rsidRPr="00693172">
        <w:rPr>
          <w:sz w:val="28"/>
          <w:szCs w:val="28"/>
        </w:rPr>
        <w:t>,</w:t>
      </w:r>
      <w:r w:rsidRPr="00693172">
        <w:rPr>
          <w:sz w:val="28"/>
          <w:szCs w:val="28"/>
        </w:rPr>
        <w:t xml:space="preserve"> with care and consideration for patients and their families, the latest strategy </w:t>
      </w:r>
      <w:r w:rsidR="00E45671" w:rsidRPr="00693172">
        <w:rPr>
          <w:sz w:val="28"/>
          <w:szCs w:val="28"/>
        </w:rPr>
        <w:t xml:space="preserve">deemed necessary </w:t>
      </w:r>
      <w:r w:rsidRPr="00693172">
        <w:rPr>
          <w:sz w:val="28"/>
          <w:szCs w:val="28"/>
        </w:rPr>
        <w:t xml:space="preserve">to provide ‘sustainable’ care </w:t>
      </w:r>
      <w:r w:rsidR="008079AA" w:rsidRPr="00693172">
        <w:rPr>
          <w:sz w:val="28"/>
          <w:szCs w:val="28"/>
        </w:rPr>
        <w:t xml:space="preserve">has resulted </w:t>
      </w:r>
      <w:r w:rsidR="00300C05" w:rsidRPr="00693172">
        <w:rPr>
          <w:sz w:val="28"/>
          <w:szCs w:val="28"/>
        </w:rPr>
        <w:t xml:space="preserve">in </w:t>
      </w:r>
      <w:r w:rsidRPr="00693172">
        <w:rPr>
          <w:sz w:val="28"/>
          <w:szCs w:val="28"/>
        </w:rPr>
        <w:t>the  breaking up of the NHS in England into 42 (or so) Integrated Care Systems (ICSs</w:t>
      </w:r>
      <w:r w:rsidR="006C3D22" w:rsidRPr="00693172">
        <w:rPr>
          <w:sz w:val="28"/>
          <w:szCs w:val="28"/>
        </w:rPr>
        <w:t xml:space="preserve"> </w:t>
      </w:r>
      <w:r w:rsidR="006C3D22" w:rsidRPr="00373776">
        <w:rPr>
          <w:color w:val="000000" w:themeColor="text1"/>
          <w:sz w:val="28"/>
          <w:szCs w:val="28"/>
        </w:rPr>
        <w:t>or ‘systems’</w:t>
      </w:r>
      <w:r w:rsidRPr="00693172">
        <w:rPr>
          <w:sz w:val="28"/>
          <w:szCs w:val="28"/>
        </w:rPr>
        <w:t>)</w:t>
      </w:r>
      <w:r w:rsidR="00A53729" w:rsidRPr="00693172">
        <w:rPr>
          <w:sz w:val="28"/>
          <w:szCs w:val="28"/>
        </w:rPr>
        <w:t>. These are</w:t>
      </w:r>
      <w:r w:rsidRPr="00693172">
        <w:rPr>
          <w:sz w:val="28"/>
          <w:szCs w:val="28"/>
        </w:rPr>
        <w:t xml:space="preserve"> based on ACOs with each </w:t>
      </w:r>
      <w:r w:rsidR="00326EDC" w:rsidRPr="00693172">
        <w:rPr>
          <w:sz w:val="28"/>
          <w:szCs w:val="28"/>
        </w:rPr>
        <w:t xml:space="preserve">system </w:t>
      </w:r>
      <w:r w:rsidRPr="00693172">
        <w:rPr>
          <w:sz w:val="28"/>
          <w:szCs w:val="28"/>
        </w:rPr>
        <w:t xml:space="preserve">responsible for </w:t>
      </w:r>
      <w:r w:rsidR="002661AF">
        <w:rPr>
          <w:sz w:val="28"/>
          <w:szCs w:val="28"/>
        </w:rPr>
        <w:t xml:space="preserve">commissioning </w:t>
      </w:r>
      <w:r w:rsidR="00AA198E">
        <w:rPr>
          <w:sz w:val="28"/>
          <w:szCs w:val="28"/>
        </w:rPr>
        <w:t xml:space="preserve">services for </w:t>
      </w:r>
      <w:r w:rsidRPr="00693172">
        <w:rPr>
          <w:sz w:val="28"/>
          <w:szCs w:val="28"/>
        </w:rPr>
        <w:t>their own</w:t>
      </w:r>
      <w:r w:rsidR="00094BAC" w:rsidRPr="00693172">
        <w:rPr>
          <w:sz w:val="28"/>
          <w:szCs w:val="28"/>
        </w:rPr>
        <w:t xml:space="preserve"> designated ‘</w:t>
      </w:r>
      <w:r w:rsidRPr="00693172">
        <w:rPr>
          <w:sz w:val="28"/>
          <w:szCs w:val="28"/>
        </w:rPr>
        <w:t xml:space="preserve">populations’ and their own budgets. Such a </w:t>
      </w:r>
      <w:r w:rsidRPr="00693172">
        <w:rPr>
          <w:sz w:val="28"/>
          <w:szCs w:val="28"/>
        </w:rPr>
        <w:lastRenderedPageBreak/>
        <w:t xml:space="preserve">structural change </w:t>
      </w:r>
      <w:r w:rsidR="00AA590F">
        <w:rPr>
          <w:sz w:val="28"/>
          <w:szCs w:val="28"/>
        </w:rPr>
        <w:t>with</w:t>
      </w:r>
      <w:r w:rsidR="00D67DDD">
        <w:rPr>
          <w:sz w:val="28"/>
          <w:szCs w:val="28"/>
        </w:rPr>
        <w:t xml:space="preserve"> its</w:t>
      </w:r>
      <w:r w:rsidR="00E658B1">
        <w:rPr>
          <w:sz w:val="28"/>
          <w:szCs w:val="28"/>
        </w:rPr>
        <w:t xml:space="preserve"> fragmentation </w:t>
      </w:r>
      <w:r w:rsidRPr="00693172">
        <w:rPr>
          <w:sz w:val="28"/>
          <w:szCs w:val="28"/>
        </w:rPr>
        <w:t>reduces the benefit of risk pooling</w:t>
      </w:r>
      <w:r w:rsidR="00C212BC">
        <w:rPr>
          <w:sz w:val="28"/>
          <w:szCs w:val="28"/>
        </w:rPr>
        <w:t>,</w:t>
      </w:r>
      <w:r w:rsidR="00AA198E">
        <w:rPr>
          <w:rStyle w:val="FootnoteReference"/>
          <w:sz w:val="28"/>
          <w:szCs w:val="28"/>
        </w:rPr>
        <w:footnoteReference w:id="7"/>
      </w:r>
      <w:r w:rsidR="00D20E1A">
        <w:rPr>
          <w:sz w:val="28"/>
          <w:szCs w:val="28"/>
        </w:rPr>
        <w:t xml:space="preserve"> a feature that</w:t>
      </w:r>
      <w:r w:rsidR="00E72D6A" w:rsidRPr="00E72D6A">
        <w:rPr>
          <w:sz w:val="28"/>
          <w:szCs w:val="28"/>
        </w:rPr>
        <w:t xml:space="preserve"> </w:t>
      </w:r>
      <w:r w:rsidR="00BD767A">
        <w:rPr>
          <w:sz w:val="28"/>
          <w:szCs w:val="28"/>
        </w:rPr>
        <w:t xml:space="preserve">works best in as big </w:t>
      </w:r>
      <w:r w:rsidR="0035665E">
        <w:rPr>
          <w:sz w:val="28"/>
          <w:szCs w:val="28"/>
        </w:rPr>
        <w:t xml:space="preserve">and diverse </w:t>
      </w:r>
      <w:r w:rsidR="0008498C">
        <w:rPr>
          <w:sz w:val="28"/>
          <w:szCs w:val="28"/>
        </w:rPr>
        <w:t xml:space="preserve">a </w:t>
      </w:r>
      <w:r w:rsidR="00BD767A">
        <w:rPr>
          <w:sz w:val="28"/>
          <w:szCs w:val="28"/>
        </w:rPr>
        <w:t>population as possible</w:t>
      </w:r>
      <w:r w:rsidR="0035665E">
        <w:rPr>
          <w:sz w:val="28"/>
          <w:szCs w:val="28"/>
        </w:rPr>
        <w:t xml:space="preserve">. </w:t>
      </w:r>
      <w:r w:rsidR="0008498C">
        <w:rPr>
          <w:sz w:val="28"/>
          <w:szCs w:val="28"/>
        </w:rPr>
        <w:t>By</w:t>
      </w:r>
      <w:r w:rsidR="00E375AA" w:rsidRPr="00D05CAD">
        <w:rPr>
          <w:sz w:val="28"/>
          <w:szCs w:val="28"/>
        </w:rPr>
        <w:t xml:space="preserve"> </w:t>
      </w:r>
      <w:r w:rsidR="00E375AA">
        <w:rPr>
          <w:sz w:val="28"/>
          <w:szCs w:val="28"/>
        </w:rPr>
        <w:t>disconnecting</w:t>
      </w:r>
      <w:r w:rsidR="00E375AA" w:rsidRPr="00D05CAD">
        <w:rPr>
          <w:sz w:val="28"/>
          <w:szCs w:val="28"/>
        </w:rPr>
        <w:t xml:space="preserve"> contributions</w:t>
      </w:r>
      <w:r w:rsidR="003F5310">
        <w:rPr>
          <w:sz w:val="28"/>
          <w:szCs w:val="28"/>
        </w:rPr>
        <w:t xml:space="preserve"> </w:t>
      </w:r>
      <w:r w:rsidR="00E375AA" w:rsidRPr="00D05CAD">
        <w:rPr>
          <w:sz w:val="28"/>
          <w:szCs w:val="28"/>
        </w:rPr>
        <w:t>such as taxes or insurance premiums from a person’s health status or health risks</w:t>
      </w:r>
      <w:r w:rsidR="003F5310">
        <w:rPr>
          <w:sz w:val="28"/>
          <w:szCs w:val="28"/>
        </w:rPr>
        <w:t>,</w:t>
      </w:r>
      <w:r w:rsidR="00E375AA" w:rsidRPr="00E72D6A">
        <w:rPr>
          <w:sz w:val="28"/>
          <w:szCs w:val="28"/>
        </w:rPr>
        <w:t xml:space="preserve"> </w:t>
      </w:r>
      <w:r w:rsidR="00B54773">
        <w:rPr>
          <w:sz w:val="28"/>
          <w:szCs w:val="28"/>
        </w:rPr>
        <w:t xml:space="preserve">pooling </w:t>
      </w:r>
      <w:r w:rsidR="00E72D6A" w:rsidRPr="00E72D6A">
        <w:rPr>
          <w:sz w:val="28"/>
          <w:szCs w:val="28"/>
        </w:rPr>
        <w:t>serves to spread the financial risk associated with the need to use and pay for health services</w:t>
      </w:r>
      <w:r w:rsidR="008B1F25">
        <w:rPr>
          <w:sz w:val="28"/>
          <w:szCs w:val="28"/>
        </w:rPr>
        <w:t xml:space="preserve"> </w:t>
      </w:r>
      <w:r w:rsidR="00E72D6A" w:rsidRPr="00E72D6A">
        <w:rPr>
          <w:sz w:val="28"/>
          <w:szCs w:val="28"/>
        </w:rPr>
        <w:t xml:space="preserve">so that </w:t>
      </w:r>
      <w:r w:rsidR="00B54773">
        <w:rPr>
          <w:sz w:val="28"/>
          <w:szCs w:val="28"/>
        </w:rPr>
        <w:t>it</w:t>
      </w:r>
      <w:r w:rsidR="00E72D6A" w:rsidRPr="00E72D6A">
        <w:rPr>
          <w:sz w:val="28"/>
          <w:szCs w:val="28"/>
        </w:rPr>
        <w:t xml:space="preserve"> is not fully borne by an</w:t>
      </w:r>
      <w:r w:rsidR="004A6D2A">
        <w:rPr>
          <w:sz w:val="28"/>
          <w:szCs w:val="28"/>
        </w:rPr>
        <w:t>y</w:t>
      </w:r>
      <w:r w:rsidR="00E72D6A" w:rsidRPr="00E72D6A">
        <w:rPr>
          <w:sz w:val="28"/>
          <w:szCs w:val="28"/>
        </w:rPr>
        <w:t xml:space="preserve"> individua</w:t>
      </w:r>
      <w:r w:rsidR="00DF64E2">
        <w:rPr>
          <w:sz w:val="28"/>
          <w:szCs w:val="28"/>
        </w:rPr>
        <w:t>l</w:t>
      </w:r>
      <w:r w:rsidR="002A02BA">
        <w:rPr>
          <w:sz w:val="28"/>
          <w:szCs w:val="28"/>
        </w:rPr>
        <w:t xml:space="preserve">. </w:t>
      </w:r>
      <w:r w:rsidR="008B6A21">
        <w:rPr>
          <w:sz w:val="28"/>
          <w:szCs w:val="28"/>
        </w:rPr>
        <w:t>Its</w:t>
      </w:r>
      <w:r w:rsidR="00E05E8A">
        <w:rPr>
          <w:sz w:val="28"/>
          <w:szCs w:val="28"/>
        </w:rPr>
        <w:t xml:space="preserve"> </w:t>
      </w:r>
      <w:r w:rsidR="00884E30" w:rsidRPr="00884E30">
        <w:rPr>
          <w:sz w:val="28"/>
          <w:szCs w:val="28"/>
        </w:rPr>
        <w:t xml:space="preserve">central objective is to </w:t>
      </w:r>
      <w:r w:rsidR="00125E71" w:rsidRPr="00884E30">
        <w:rPr>
          <w:sz w:val="28"/>
          <w:szCs w:val="28"/>
        </w:rPr>
        <w:t>maximise</w:t>
      </w:r>
      <w:r w:rsidR="00125E71">
        <w:rPr>
          <w:sz w:val="28"/>
          <w:szCs w:val="28"/>
        </w:rPr>
        <w:t xml:space="preserve"> </w:t>
      </w:r>
      <w:r w:rsidR="00D05CAD" w:rsidRPr="00D05CAD">
        <w:rPr>
          <w:sz w:val="28"/>
          <w:szCs w:val="28"/>
        </w:rPr>
        <w:t>redistributive capacity.</w:t>
      </w:r>
      <w:r w:rsidR="00974963">
        <w:rPr>
          <w:sz w:val="28"/>
          <w:szCs w:val="28"/>
        </w:rPr>
        <w:t xml:space="preserve"> </w:t>
      </w:r>
      <w:r w:rsidR="004A6D2A">
        <w:rPr>
          <w:sz w:val="28"/>
          <w:szCs w:val="28"/>
        </w:rPr>
        <w:t xml:space="preserve">Thus </w:t>
      </w:r>
      <w:r w:rsidR="00A630A7">
        <w:rPr>
          <w:sz w:val="28"/>
          <w:szCs w:val="28"/>
        </w:rPr>
        <w:t xml:space="preserve">National </w:t>
      </w:r>
      <w:r w:rsidR="003A7FDB" w:rsidRPr="003A7FDB">
        <w:rPr>
          <w:sz w:val="28"/>
          <w:szCs w:val="28"/>
        </w:rPr>
        <w:t xml:space="preserve">arrangements </w:t>
      </w:r>
      <w:r w:rsidR="00D27F59">
        <w:rPr>
          <w:sz w:val="28"/>
          <w:szCs w:val="28"/>
        </w:rPr>
        <w:t xml:space="preserve">maximise </w:t>
      </w:r>
      <w:r w:rsidR="007E3C2C">
        <w:rPr>
          <w:sz w:val="28"/>
          <w:szCs w:val="28"/>
        </w:rPr>
        <w:t>pooling benefits</w:t>
      </w:r>
      <w:r w:rsidR="00D11609">
        <w:rPr>
          <w:sz w:val="28"/>
          <w:szCs w:val="28"/>
        </w:rPr>
        <w:t xml:space="preserve">, </w:t>
      </w:r>
      <w:r w:rsidR="00914116">
        <w:rPr>
          <w:sz w:val="28"/>
          <w:szCs w:val="28"/>
        </w:rPr>
        <w:t xml:space="preserve">and </w:t>
      </w:r>
      <w:r w:rsidR="00D11609">
        <w:rPr>
          <w:sz w:val="28"/>
          <w:szCs w:val="28"/>
        </w:rPr>
        <w:t xml:space="preserve">they </w:t>
      </w:r>
      <w:r w:rsidR="00914116">
        <w:rPr>
          <w:sz w:val="28"/>
          <w:szCs w:val="28"/>
        </w:rPr>
        <w:t xml:space="preserve">also </w:t>
      </w:r>
      <w:r w:rsidR="00DA3D82" w:rsidRPr="00DA3D82">
        <w:rPr>
          <w:sz w:val="28"/>
          <w:szCs w:val="28"/>
        </w:rPr>
        <w:t xml:space="preserve">enhance the purchasing power of the pool and </w:t>
      </w:r>
      <w:r w:rsidR="001A2147">
        <w:rPr>
          <w:sz w:val="28"/>
          <w:szCs w:val="28"/>
        </w:rPr>
        <w:t>the</w:t>
      </w:r>
      <w:r w:rsidR="00DA3D82" w:rsidRPr="00DA3D82">
        <w:rPr>
          <w:sz w:val="28"/>
          <w:szCs w:val="28"/>
        </w:rPr>
        <w:t xml:space="preserve"> potential to purchase health services more strategically </w:t>
      </w:r>
      <w:r w:rsidRPr="00693172">
        <w:rPr>
          <w:sz w:val="28"/>
          <w:szCs w:val="28"/>
        </w:rPr>
        <w:t>for poorer or otherwise disadvanta</w:t>
      </w:r>
      <w:r w:rsidR="00755A02">
        <w:rPr>
          <w:sz w:val="28"/>
          <w:szCs w:val="28"/>
        </w:rPr>
        <w:t>ged</w:t>
      </w:r>
      <w:r w:rsidR="000B4CC8">
        <w:rPr>
          <w:sz w:val="28"/>
          <w:szCs w:val="28"/>
        </w:rPr>
        <w:t xml:space="preserve"> people</w:t>
      </w:r>
      <w:r w:rsidRPr="00AB1633">
        <w:rPr>
          <w:rStyle w:val="FootnoteReference"/>
          <w:sz w:val="28"/>
          <w:szCs w:val="28"/>
        </w:rPr>
        <w:footnoteReference w:id="8"/>
      </w:r>
      <w:r w:rsidRPr="00693172">
        <w:rPr>
          <w:sz w:val="28"/>
          <w:szCs w:val="28"/>
        </w:rPr>
        <w:t xml:space="preserve">. </w:t>
      </w:r>
    </w:p>
    <w:p w14:paraId="31AC2A8B" w14:textId="77777777" w:rsidR="000B4CC8" w:rsidRDefault="000B4CC8" w:rsidP="00693172">
      <w:pPr>
        <w:rPr>
          <w:sz w:val="28"/>
          <w:szCs w:val="28"/>
        </w:rPr>
      </w:pPr>
    </w:p>
    <w:p w14:paraId="48139053" w14:textId="3A3F83B3" w:rsidR="00A11FE0" w:rsidRPr="00693172" w:rsidRDefault="00E40A95" w:rsidP="00693172">
      <w:pPr>
        <w:rPr>
          <w:sz w:val="28"/>
          <w:szCs w:val="28"/>
        </w:rPr>
      </w:pPr>
      <w:r w:rsidRPr="00693172">
        <w:rPr>
          <w:sz w:val="28"/>
          <w:szCs w:val="28"/>
        </w:rPr>
        <w:t xml:space="preserve">Each system </w:t>
      </w:r>
      <w:r w:rsidR="00773FA5" w:rsidRPr="00693172">
        <w:rPr>
          <w:sz w:val="28"/>
          <w:szCs w:val="28"/>
        </w:rPr>
        <w:t xml:space="preserve">when ‘mature’ </w:t>
      </w:r>
      <w:r w:rsidRPr="00693172">
        <w:rPr>
          <w:sz w:val="28"/>
          <w:szCs w:val="28"/>
        </w:rPr>
        <w:t>will be allocated its own, mainly fixed, annual payment</w:t>
      </w:r>
      <w:r>
        <w:rPr>
          <w:rStyle w:val="FootnoteReference"/>
          <w:sz w:val="28"/>
          <w:szCs w:val="28"/>
        </w:rPr>
        <w:footnoteReference w:id="9"/>
      </w:r>
      <w:r w:rsidRPr="00693172">
        <w:rPr>
          <w:sz w:val="28"/>
          <w:szCs w:val="28"/>
        </w:rPr>
        <w:t xml:space="preserve"> via NHSE. This cannot be overspent and it is t</w:t>
      </w:r>
      <w:r w:rsidR="009D504B" w:rsidRPr="00693172">
        <w:rPr>
          <w:sz w:val="28"/>
          <w:szCs w:val="28"/>
        </w:rPr>
        <w:t xml:space="preserve">he Integrated Care Board (ICB), </w:t>
      </w:r>
      <w:r w:rsidR="009D504B" w:rsidRPr="00607204">
        <w:rPr>
          <w:color w:val="000000" w:themeColor="text1"/>
          <w:sz w:val="28"/>
          <w:szCs w:val="28"/>
        </w:rPr>
        <w:t>the ICS’s statutory body</w:t>
      </w:r>
      <w:r w:rsidR="009D504B" w:rsidRPr="00693172">
        <w:rPr>
          <w:sz w:val="28"/>
          <w:szCs w:val="28"/>
        </w:rPr>
        <w:t xml:space="preserve">, </w:t>
      </w:r>
      <w:r w:rsidRPr="00693172">
        <w:rPr>
          <w:sz w:val="28"/>
          <w:szCs w:val="28"/>
        </w:rPr>
        <w:t>that must manage and distribute it within the ICS through contracts, which can then be managed</w:t>
      </w:r>
      <w:r w:rsidRPr="00693172">
        <w:rPr>
          <w:color w:val="008000"/>
          <w:sz w:val="28"/>
          <w:szCs w:val="28"/>
        </w:rPr>
        <w:t xml:space="preserve"> </w:t>
      </w:r>
      <w:r w:rsidRPr="00693172">
        <w:rPr>
          <w:sz w:val="28"/>
          <w:szCs w:val="28"/>
        </w:rPr>
        <w:t>by Place Based Partnerships or Provider Collaboratives</w:t>
      </w:r>
      <w:r w:rsidRPr="00BC62F2">
        <w:rPr>
          <w:rStyle w:val="FootnoteReference"/>
          <w:color w:val="000000" w:themeColor="text1"/>
          <w:sz w:val="28"/>
          <w:szCs w:val="28"/>
        </w:rPr>
        <w:footnoteReference w:id="10"/>
      </w:r>
      <w:r w:rsidRPr="00693172">
        <w:rPr>
          <w:color w:val="000000" w:themeColor="text1"/>
          <w:sz w:val="28"/>
          <w:szCs w:val="28"/>
        </w:rPr>
        <w:t>.</w:t>
      </w:r>
      <w:r w:rsidR="006C3D22" w:rsidRPr="00693172">
        <w:rPr>
          <w:color w:val="FF6600"/>
          <w:sz w:val="28"/>
          <w:szCs w:val="28"/>
        </w:rPr>
        <w:t xml:space="preserve"> </w:t>
      </w:r>
      <w:r w:rsidR="00D9142E">
        <w:rPr>
          <w:color w:val="FF6600"/>
          <w:sz w:val="28"/>
          <w:szCs w:val="28"/>
        </w:rPr>
        <w:t xml:space="preserve"> </w:t>
      </w:r>
      <w:r w:rsidRPr="00693172">
        <w:rPr>
          <w:sz w:val="28"/>
          <w:szCs w:val="28"/>
        </w:rPr>
        <w:t xml:space="preserve">All ‘Partners’ within a system must </w:t>
      </w:r>
      <w:r w:rsidR="009E0D0F" w:rsidRPr="00693172">
        <w:rPr>
          <w:sz w:val="28"/>
          <w:szCs w:val="28"/>
        </w:rPr>
        <w:t xml:space="preserve">act to </w:t>
      </w:r>
      <w:r w:rsidRPr="00693172">
        <w:rPr>
          <w:sz w:val="28"/>
          <w:szCs w:val="28"/>
        </w:rPr>
        <w:t>stay within their own allotted budget and cooperate with each other to keep the system within its fixed annual payment- hence</w:t>
      </w:r>
      <w:r w:rsidR="009E0D0F" w:rsidRPr="00693172">
        <w:rPr>
          <w:sz w:val="28"/>
          <w:szCs w:val="28"/>
        </w:rPr>
        <w:t xml:space="preserve"> the term ‘accountable’.</w:t>
      </w:r>
      <w:r w:rsidRPr="00693172">
        <w:rPr>
          <w:sz w:val="28"/>
          <w:szCs w:val="28"/>
        </w:rPr>
        <w:t xml:space="preserve"> </w:t>
      </w:r>
    </w:p>
    <w:p w14:paraId="31949CD7" w14:textId="77777777" w:rsidR="006C3D22" w:rsidRDefault="006C3D22" w:rsidP="00DA4586">
      <w:pPr>
        <w:pStyle w:val="ListParagraph"/>
        <w:rPr>
          <w:sz w:val="28"/>
          <w:szCs w:val="28"/>
        </w:rPr>
      </w:pPr>
    </w:p>
    <w:p w14:paraId="3227B326" w14:textId="77777777" w:rsidR="00506DD7" w:rsidRDefault="00506DD7" w:rsidP="00506DD7">
      <w:pPr>
        <w:rPr>
          <w:sz w:val="28"/>
          <w:szCs w:val="28"/>
        </w:rPr>
      </w:pPr>
    </w:p>
    <w:p w14:paraId="38109544" w14:textId="77777777" w:rsidR="00EE0B38" w:rsidRPr="002A3123" w:rsidRDefault="006B0949" w:rsidP="006C3D22">
      <w:pPr>
        <w:rPr>
          <w:b/>
          <w:bCs/>
          <w:sz w:val="28"/>
          <w:szCs w:val="28"/>
        </w:rPr>
      </w:pPr>
      <w:r>
        <w:rPr>
          <w:b/>
          <w:bCs/>
          <w:sz w:val="28"/>
          <w:szCs w:val="28"/>
        </w:rPr>
        <w:t xml:space="preserve">Requirements </w:t>
      </w:r>
      <w:r w:rsidR="00747D13">
        <w:rPr>
          <w:b/>
          <w:bCs/>
          <w:sz w:val="28"/>
          <w:szCs w:val="28"/>
        </w:rPr>
        <w:t xml:space="preserve">for the NHS Payment </w:t>
      </w:r>
      <w:r w:rsidR="00B46FB3">
        <w:rPr>
          <w:b/>
          <w:bCs/>
          <w:sz w:val="28"/>
          <w:szCs w:val="28"/>
        </w:rPr>
        <w:t>Scheme</w:t>
      </w:r>
      <w:r w:rsidR="00997D13">
        <w:rPr>
          <w:b/>
          <w:bCs/>
          <w:sz w:val="28"/>
          <w:szCs w:val="28"/>
        </w:rPr>
        <w:t xml:space="preserve"> as documented in</w:t>
      </w:r>
      <w:r w:rsidR="00EE0B38" w:rsidRPr="0024172D">
        <w:rPr>
          <w:b/>
          <w:bCs/>
          <w:sz w:val="28"/>
          <w:szCs w:val="28"/>
        </w:rPr>
        <w:t xml:space="preserve"> the amended Health and Care Bill as sent to the House of Lords</w:t>
      </w:r>
      <w:r w:rsidR="005C1314">
        <w:rPr>
          <w:b/>
          <w:bCs/>
          <w:sz w:val="28"/>
          <w:szCs w:val="28"/>
        </w:rPr>
        <w:t>,</w:t>
      </w:r>
      <w:r w:rsidR="00EE0B38" w:rsidRPr="0024172D">
        <w:rPr>
          <w:b/>
          <w:bCs/>
          <w:sz w:val="28"/>
          <w:szCs w:val="28"/>
        </w:rPr>
        <w:t xml:space="preserve"> winter 2021</w:t>
      </w:r>
    </w:p>
    <w:p w14:paraId="6F3B3116" w14:textId="77777777" w:rsidR="00EE0B38" w:rsidRDefault="00EE0B38" w:rsidP="006C3D22">
      <w:pPr>
        <w:rPr>
          <w:b/>
          <w:bCs/>
          <w:sz w:val="28"/>
          <w:szCs w:val="28"/>
        </w:rPr>
      </w:pPr>
    </w:p>
    <w:p w14:paraId="4CD6FB99" w14:textId="77777777" w:rsidR="000D341E" w:rsidRDefault="000D341E" w:rsidP="006C3D22">
      <w:pPr>
        <w:rPr>
          <w:b/>
          <w:bCs/>
          <w:sz w:val="28"/>
          <w:szCs w:val="28"/>
        </w:rPr>
      </w:pPr>
      <w:r w:rsidRPr="00A52EA5">
        <w:rPr>
          <w:b/>
          <w:bCs/>
          <w:sz w:val="28"/>
          <w:szCs w:val="28"/>
        </w:rPr>
        <w:t xml:space="preserve">NHS Payment </w:t>
      </w:r>
      <w:r w:rsidR="005C1314">
        <w:rPr>
          <w:b/>
          <w:bCs/>
          <w:sz w:val="28"/>
          <w:szCs w:val="28"/>
        </w:rPr>
        <w:t>Scheme</w:t>
      </w:r>
      <w:r>
        <w:rPr>
          <w:b/>
          <w:bCs/>
          <w:sz w:val="28"/>
          <w:szCs w:val="28"/>
        </w:rPr>
        <w:t xml:space="preserve"> (114A)</w:t>
      </w:r>
    </w:p>
    <w:p w14:paraId="6E7EF7EB" w14:textId="77777777" w:rsidR="000E5CA3" w:rsidRDefault="000E5CA3" w:rsidP="006C3D22">
      <w:pPr>
        <w:rPr>
          <w:b/>
          <w:bCs/>
          <w:sz w:val="28"/>
          <w:szCs w:val="28"/>
        </w:rPr>
      </w:pPr>
    </w:p>
    <w:p w14:paraId="17F9DC53" w14:textId="0511003B" w:rsidR="000E5CA3" w:rsidRPr="0037228D" w:rsidRDefault="000E5CA3" w:rsidP="006C3D22">
      <w:pPr>
        <w:ind w:left="720"/>
        <w:rPr>
          <w:color w:val="5B9BD5" w:themeColor="accent5"/>
          <w:sz w:val="28"/>
          <w:szCs w:val="28"/>
        </w:rPr>
      </w:pPr>
      <w:r w:rsidRPr="0024172D">
        <w:rPr>
          <w:sz w:val="28"/>
          <w:szCs w:val="28"/>
        </w:rPr>
        <w:t xml:space="preserve">Clause 68 </w:t>
      </w:r>
      <w:r w:rsidR="007F1705" w:rsidRPr="00A361C5">
        <w:rPr>
          <w:color w:val="000000" w:themeColor="text1"/>
          <w:sz w:val="28"/>
          <w:szCs w:val="28"/>
        </w:rPr>
        <w:t xml:space="preserve">of </w:t>
      </w:r>
      <w:r w:rsidR="009D504B" w:rsidRPr="00A361C5">
        <w:rPr>
          <w:color w:val="000000" w:themeColor="text1"/>
          <w:sz w:val="28"/>
          <w:szCs w:val="28"/>
        </w:rPr>
        <w:t>the Bill</w:t>
      </w:r>
      <w:r w:rsidR="007F1705">
        <w:rPr>
          <w:color w:val="5B9BD5" w:themeColor="accent5"/>
          <w:sz w:val="28"/>
          <w:szCs w:val="28"/>
        </w:rPr>
        <w:t xml:space="preserve"> </w:t>
      </w:r>
      <w:r w:rsidRPr="0024172D">
        <w:rPr>
          <w:sz w:val="28"/>
          <w:szCs w:val="28"/>
        </w:rPr>
        <w:t xml:space="preserve">states that Schedule 10 </w:t>
      </w:r>
      <w:r w:rsidR="007F1705" w:rsidRPr="002F0049">
        <w:rPr>
          <w:color w:val="000000" w:themeColor="text1"/>
          <w:sz w:val="28"/>
          <w:szCs w:val="28"/>
        </w:rPr>
        <w:t xml:space="preserve">of the Bill </w:t>
      </w:r>
      <w:r w:rsidRPr="0024172D">
        <w:rPr>
          <w:sz w:val="28"/>
          <w:szCs w:val="28"/>
        </w:rPr>
        <w:t>legally replaces the national tariff</w:t>
      </w:r>
      <w:r w:rsidR="00C46D2D">
        <w:rPr>
          <w:rStyle w:val="FootnoteReference"/>
          <w:sz w:val="28"/>
          <w:szCs w:val="28"/>
        </w:rPr>
        <w:footnoteReference w:id="11"/>
      </w:r>
      <w:r w:rsidRPr="0024172D">
        <w:rPr>
          <w:sz w:val="28"/>
          <w:szCs w:val="28"/>
        </w:rPr>
        <w:t xml:space="preserve"> with the NHS payment </w:t>
      </w:r>
      <w:proofErr w:type="gramStart"/>
      <w:r w:rsidRPr="0024172D">
        <w:rPr>
          <w:sz w:val="28"/>
          <w:szCs w:val="28"/>
        </w:rPr>
        <w:t>scheme, and</w:t>
      </w:r>
      <w:proofErr w:type="gramEnd"/>
      <w:r w:rsidRPr="0024172D">
        <w:rPr>
          <w:sz w:val="28"/>
          <w:szCs w:val="28"/>
        </w:rPr>
        <w:t xml:space="preserve"> makes provision</w:t>
      </w:r>
      <w:r>
        <w:rPr>
          <w:sz w:val="28"/>
          <w:szCs w:val="28"/>
        </w:rPr>
        <w:t>s</w:t>
      </w:r>
      <w:r w:rsidRPr="0024172D">
        <w:rPr>
          <w:sz w:val="28"/>
          <w:szCs w:val="28"/>
        </w:rPr>
        <w:t xml:space="preserve"> relating to that scheme</w:t>
      </w:r>
      <w:r>
        <w:rPr>
          <w:sz w:val="28"/>
          <w:szCs w:val="28"/>
        </w:rPr>
        <w:t xml:space="preserve"> with respect to</w:t>
      </w:r>
      <w:r w:rsidRPr="0024172D">
        <w:rPr>
          <w:sz w:val="28"/>
          <w:szCs w:val="28"/>
        </w:rPr>
        <w:t xml:space="preserve"> patient choice and provider selection, procurement, expenditure, and resource use</w:t>
      </w:r>
      <w:r>
        <w:rPr>
          <w:rStyle w:val="FootnoteReference"/>
          <w:sz w:val="28"/>
          <w:szCs w:val="28"/>
        </w:rPr>
        <w:footnoteReference w:id="12"/>
      </w:r>
      <w:r w:rsidRPr="0024172D">
        <w:rPr>
          <w:sz w:val="28"/>
          <w:szCs w:val="28"/>
        </w:rPr>
        <w:t>.</w:t>
      </w:r>
    </w:p>
    <w:p w14:paraId="678609A2" w14:textId="77777777" w:rsidR="00B402CA" w:rsidRPr="00B402CA" w:rsidRDefault="00B402CA" w:rsidP="008F4760">
      <w:pPr>
        <w:pBdr>
          <w:top w:val="nil"/>
          <w:left w:val="nil"/>
          <w:bottom w:val="nil"/>
          <w:right w:val="nil"/>
          <w:between w:val="nil"/>
          <w:bar w:val="nil"/>
        </w:pBdr>
        <w:ind w:firstLine="720"/>
        <w:rPr>
          <w:rFonts w:eastAsia="Arial Unicode MS" w:cs="Arial Unicode MS"/>
          <w:i/>
          <w:iCs/>
          <w:color w:val="000000"/>
          <w:sz w:val="28"/>
          <w:szCs w:val="28"/>
          <w:bdr w:val="nil"/>
          <w:lang w:val="en-US"/>
        </w:rPr>
      </w:pPr>
      <w:r w:rsidRPr="00B402CA">
        <w:rPr>
          <w:rFonts w:eastAsia="Arial Unicode MS" w:cs="Arial Unicode MS"/>
          <w:i/>
          <w:iCs/>
          <w:color w:val="000000"/>
          <w:sz w:val="28"/>
          <w:szCs w:val="28"/>
          <w:bdr w:val="nil"/>
          <w:lang w:val="en-US"/>
        </w:rPr>
        <w:lastRenderedPageBreak/>
        <w:t>The document</w:t>
      </w:r>
    </w:p>
    <w:p w14:paraId="6FBE9807" w14:textId="33CD6BD5" w:rsidR="000D341E" w:rsidRPr="009D504B" w:rsidRDefault="000D341E" w:rsidP="009D504B">
      <w:pPr>
        <w:pBdr>
          <w:top w:val="nil"/>
          <w:left w:val="nil"/>
          <w:bottom w:val="nil"/>
          <w:right w:val="nil"/>
          <w:between w:val="nil"/>
          <w:bar w:val="nil"/>
        </w:pBdr>
        <w:ind w:left="720"/>
        <w:rPr>
          <w:rFonts w:eastAsia="Arial Unicode MS" w:cs="Arial Unicode MS"/>
          <w:color w:val="5B9BD5" w:themeColor="accent5"/>
          <w:sz w:val="28"/>
          <w:szCs w:val="28"/>
          <w:bdr w:val="nil"/>
          <w:lang w:val="en-US"/>
        </w:rPr>
      </w:pPr>
      <w:r w:rsidRPr="007E746F">
        <w:rPr>
          <w:rFonts w:eastAsia="Arial Unicode MS" w:cs="Arial Unicode MS"/>
          <w:color w:val="000000"/>
          <w:sz w:val="28"/>
          <w:szCs w:val="28"/>
          <w:bdr w:val="nil"/>
          <w:lang w:val="en-US"/>
        </w:rPr>
        <w:t xml:space="preserve">NHS England must publish a document, to be known as </w:t>
      </w:r>
      <w:r>
        <w:rPr>
          <w:rFonts w:eastAsia="Arial Unicode MS" w:cs="Arial Unicode MS"/>
          <w:color w:val="000000"/>
          <w:sz w:val="28"/>
          <w:szCs w:val="28"/>
          <w:bdr w:val="nil"/>
          <w:lang w:val="en-US"/>
        </w:rPr>
        <w:t>‘</w:t>
      </w:r>
      <w:r w:rsidRPr="007E746F">
        <w:rPr>
          <w:rFonts w:eastAsia="Arial Unicode MS" w:cs="Arial Unicode MS"/>
          <w:color w:val="000000"/>
          <w:sz w:val="28"/>
          <w:szCs w:val="28"/>
          <w:bdr w:val="nil"/>
          <w:lang w:val="en-US"/>
        </w:rPr>
        <w:t>the NHS payment scheme</w:t>
      </w:r>
      <w:r>
        <w:rPr>
          <w:rFonts w:eastAsia="Arial Unicode MS" w:cs="Arial Unicode MS"/>
          <w:color w:val="000000"/>
          <w:sz w:val="28"/>
          <w:szCs w:val="28"/>
          <w:bdr w:val="nil"/>
          <w:lang w:val="en-US"/>
        </w:rPr>
        <w:t>’,</w:t>
      </w:r>
      <w:r w:rsidRPr="007E746F">
        <w:rPr>
          <w:rFonts w:eastAsia="Arial Unicode MS" w:cs="Arial Unicode MS"/>
          <w:color w:val="000000"/>
          <w:sz w:val="28"/>
          <w:szCs w:val="28"/>
          <w:bdr w:val="nil"/>
          <w:lang w:val="en-US"/>
        </w:rPr>
        <w:t xml:space="preserve"> containing rules for determining the price that is to be payable by a commissione</w:t>
      </w:r>
      <w:r>
        <w:rPr>
          <w:rFonts w:eastAsia="Arial Unicode MS" w:cs="Arial Unicode MS"/>
          <w:color w:val="000000"/>
          <w:sz w:val="28"/>
          <w:szCs w:val="28"/>
          <w:bdr w:val="nil"/>
          <w:lang w:val="en-US"/>
        </w:rPr>
        <w:t xml:space="preserve">r </w:t>
      </w:r>
      <w:r w:rsidRPr="006A0354">
        <w:rPr>
          <w:rFonts w:eastAsia="Arial Unicode MS" w:cs="Arial Unicode MS"/>
          <w:color w:val="000000"/>
          <w:sz w:val="28"/>
          <w:szCs w:val="28"/>
          <w:bdr w:val="nil"/>
          <w:lang w:val="en-US"/>
        </w:rPr>
        <w:t>for the provision of</w:t>
      </w:r>
      <w:r w:rsidR="009D504B">
        <w:rPr>
          <w:rFonts w:eastAsia="Arial Unicode MS" w:cs="Arial Unicode MS"/>
          <w:color w:val="000000"/>
          <w:sz w:val="28"/>
          <w:szCs w:val="28"/>
          <w:bdr w:val="nil"/>
          <w:lang w:val="en-US"/>
        </w:rPr>
        <w:t xml:space="preserve"> </w:t>
      </w:r>
      <w:r w:rsidRPr="009D504B">
        <w:rPr>
          <w:rFonts w:eastAsia="Arial Unicode MS" w:cs="Arial Unicode MS"/>
          <w:color w:val="000000"/>
          <w:sz w:val="28"/>
          <w:szCs w:val="28"/>
          <w:bdr w:val="nil"/>
          <w:lang w:val="en-US"/>
        </w:rPr>
        <w:t xml:space="preserve">health care services for the purposes of the NHS; </w:t>
      </w:r>
      <w:r w:rsidR="009D504B" w:rsidRPr="00057146">
        <w:rPr>
          <w:rFonts w:eastAsia="Arial Unicode MS" w:cs="Arial Unicode MS"/>
          <w:color w:val="000000" w:themeColor="text1"/>
          <w:sz w:val="28"/>
          <w:szCs w:val="28"/>
          <w:bdr w:val="nil"/>
          <w:lang w:val="en-US"/>
        </w:rPr>
        <w:t>and</w:t>
      </w:r>
      <w:r w:rsidR="009D504B">
        <w:rPr>
          <w:rFonts w:eastAsia="Arial Unicode MS" w:cs="Arial Unicode MS"/>
          <w:color w:val="5B9BD5" w:themeColor="accent5"/>
          <w:sz w:val="28"/>
          <w:szCs w:val="28"/>
          <w:bdr w:val="nil"/>
          <w:lang w:val="en-US"/>
        </w:rPr>
        <w:t xml:space="preserve"> </w:t>
      </w:r>
      <w:r w:rsidRPr="009D504B">
        <w:rPr>
          <w:rFonts w:eastAsia="Arial Unicode MS" w:cs="Arial Unicode MS"/>
          <w:color w:val="000000"/>
          <w:sz w:val="28"/>
          <w:szCs w:val="28"/>
          <w:bdr w:val="nil"/>
          <w:lang w:val="en-US"/>
        </w:rPr>
        <w:t>services in pursuance of arrangements</w:t>
      </w:r>
      <w:r w:rsidR="009D504B" w:rsidRPr="009D504B">
        <w:rPr>
          <w:rFonts w:eastAsia="Arial Unicode MS" w:cs="Arial Unicode MS"/>
          <w:color w:val="000000"/>
          <w:sz w:val="28"/>
          <w:szCs w:val="28"/>
          <w:bdr w:val="nil"/>
          <w:lang w:val="en-US"/>
        </w:rPr>
        <w:t xml:space="preserve"> </w:t>
      </w:r>
      <w:r w:rsidRPr="009D504B">
        <w:rPr>
          <w:rFonts w:eastAsia="Arial Unicode MS" w:cs="Arial Unicode MS"/>
          <w:color w:val="000000"/>
          <w:sz w:val="28"/>
          <w:szCs w:val="28"/>
          <w:bdr w:val="nil"/>
          <w:lang w:val="en-US"/>
        </w:rPr>
        <w:t xml:space="preserve">made by NHS England or an ICB in the exercise of any public health functions of the Secretary of State, </w:t>
      </w:r>
      <w:r w:rsidR="00617B01" w:rsidRPr="009D504B">
        <w:rPr>
          <w:rFonts w:eastAsia="Arial Unicode MS" w:cs="Arial Unicode MS"/>
          <w:color w:val="000000"/>
          <w:sz w:val="28"/>
          <w:szCs w:val="28"/>
          <w:bdr w:val="nil"/>
          <w:lang w:val="en-US"/>
        </w:rPr>
        <w:t>(</w:t>
      </w:r>
      <w:r w:rsidRPr="009D504B">
        <w:rPr>
          <w:rFonts w:eastAsia="Arial Unicode MS" w:cs="Arial Unicode MS"/>
          <w:color w:val="000000"/>
          <w:sz w:val="28"/>
          <w:szCs w:val="28"/>
          <w:bdr w:val="nil"/>
          <w:lang w:val="en-US"/>
        </w:rPr>
        <w:t>within the meaning of the National Health Service Act 35 2006</w:t>
      </w:r>
      <w:r w:rsidR="00617B01" w:rsidRPr="009D504B">
        <w:rPr>
          <w:rFonts w:eastAsia="Arial Unicode MS" w:cs="Arial Unicode MS"/>
          <w:color w:val="000000"/>
          <w:sz w:val="28"/>
          <w:szCs w:val="28"/>
          <w:bdr w:val="nil"/>
          <w:lang w:val="en-US"/>
        </w:rPr>
        <w:t>)</w:t>
      </w:r>
      <w:r w:rsidRPr="009D504B">
        <w:rPr>
          <w:rFonts w:eastAsia="Arial Unicode MS" w:cs="Arial Unicode MS"/>
          <w:color w:val="000000"/>
          <w:sz w:val="28"/>
          <w:szCs w:val="28"/>
          <w:bdr w:val="nil"/>
          <w:lang w:val="en-US"/>
        </w:rPr>
        <w:t>.</w:t>
      </w:r>
    </w:p>
    <w:p w14:paraId="6AAE8BCA" w14:textId="77777777" w:rsidR="009D504B" w:rsidRDefault="000D341E"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r w:rsidRPr="007B35B4">
        <w:rPr>
          <w:rFonts w:eastAsia="Arial Unicode MS" w:cs="Arial Unicode MS"/>
          <w:color w:val="000000"/>
          <w:sz w:val="28"/>
          <w:szCs w:val="28"/>
          <w:bdr w:val="nil"/>
          <w:lang w:val="en-US"/>
        </w:rPr>
        <w:t>The commissioner and the provider of services</w:t>
      </w:r>
      <w:r>
        <w:rPr>
          <w:rFonts w:eastAsia="Arial Unicode MS" w:cs="Arial Unicode MS"/>
          <w:color w:val="000000"/>
          <w:sz w:val="28"/>
          <w:szCs w:val="28"/>
          <w:bdr w:val="nil"/>
          <w:lang w:val="en-US"/>
        </w:rPr>
        <w:t xml:space="preserve"> </w:t>
      </w:r>
      <w:r w:rsidRPr="007B35B4">
        <w:rPr>
          <w:rFonts w:eastAsia="Arial Unicode MS" w:cs="Arial Unicode MS"/>
          <w:color w:val="000000"/>
          <w:sz w:val="28"/>
          <w:szCs w:val="28"/>
          <w:bdr w:val="nil"/>
          <w:lang w:val="en-US"/>
        </w:rPr>
        <w:t xml:space="preserve">must comply with rules </w:t>
      </w:r>
      <w:r>
        <w:rPr>
          <w:rFonts w:eastAsia="Arial Unicode MS" w:cs="Arial Unicode MS"/>
          <w:color w:val="000000"/>
          <w:sz w:val="28"/>
          <w:szCs w:val="28"/>
          <w:bdr w:val="nil"/>
          <w:lang w:val="en-US"/>
        </w:rPr>
        <w:t xml:space="preserve">which </w:t>
      </w:r>
      <w:r w:rsidRPr="00C2135E">
        <w:rPr>
          <w:rFonts w:eastAsia="Arial Unicode MS" w:cs="Arial Unicode MS"/>
          <w:color w:val="000000"/>
          <w:sz w:val="28"/>
          <w:szCs w:val="28"/>
          <w:bdr w:val="nil"/>
          <w:lang w:val="en-US"/>
        </w:rPr>
        <w:t>may</w:t>
      </w:r>
      <w:r>
        <w:rPr>
          <w:rFonts w:eastAsia="Arial Unicode MS" w:cs="Arial Unicode MS"/>
          <w:color w:val="000000"/>
          <w:sz w:val="28"/>
          <w:szCs w:val="28"/>
          <w:bdr w:val="nil"/>
          <w:lang w:val="en-US"/>
        </w:rPr>
        <w:t xml:space="preserve">: </w:t>
      </w:r>
    </w:p>
    <w:p w14:paraId="30F9DF5D" w14:textId="77777777" w:rsidR="009D504B" w:rsidRDefault="000D341E" w:rsidP="009D504B">
      <w:pPr>
        <w:pStyle w:val="ListParagraph"/>
        <w:numPr>
          <w:ilvl w:val="0"/>
          <w:numId w:val="26"/>
        </w:numPr>
        <w:pBdr>
          <w:top w:val="nil"/>
          <w:left w:val="nil"/>
          <w:bottom w:val="nil"/>
          <w:right w:val="nil"/>
          <w:between w:val="nil"/>
          <w:bar w:val="nil"/>
        </w:pBdr>
        <w:rPr>
          <w:rFonts w:eastAsia="Arial Unicode MS" w:cs="Arial Unicode MS"/>
          <w:color w:val="000000"/>
          <w:sz w:val="28"/>
          <w:szCs w:val="28"/>
          <w:bdr w:val="nil"/>
          <w:lang w:val="en-US"/>
        </w:rPr>
      </w:pPr>
      <w:r w:rsidRPr="00C2135E">
        <w:rPr>
          <w:rFonts w:eastAsia="Arial Unicode MS" w:cs="Arial Unicode MS"/>
          <w:color w:val="000000"/>
          <w:sz w:val="28"/>
          <w:szCs w:val="28"/>
          <w:bdr w:val="nil"/>
          <w:lang w:val="en-US"/>
        </w:rPr>
        <w:t xml:space="preserve">specify </w:t>
      </w:r>
      <w:proofErr w:type="gramStart"/>
      <w:r w:rsidRPr="00C2135E">
        <w:rPr>
          <w:rFonts w:eastAsia="Arial Unicode MS" w:cs="Arial Unicode MS"/>
          <w:color w:val="000000"/>
          <w:sz w:val="28"/>
          <w:szCs w:val="28"/>
          <w:bdr w:val="nil"/>
          <w:lang w:val="en-US"/>
        </w:rPr>
        <w:t>prices;</w:t>
      </w:r>
      <w:proofErr w:type="gramEnd"/>
      <w:r w:rsidRPr="00C2135E">
        <w:rPr>
          <w:rFonts w:eastAsia="Arial Unicode MS" w:cs="Arial Unicode MS"/>
          <w:color w:val="000000"/>
          <w:sz w:val="28"/>
          <w:szCs w:val="28"/>
          <w:bdr w:val="nil"/>
          <w:lang w:val="en-US"/>
        </w:rPr>
        <w:t xml:space="preserve"> </w:t>
      </w:r>
    </w:p>
    <w:p w14:paraId="399AA98D" w14:textId="77777777" w:rsidR="009D504B" w:rsidRDefault="000D341E" w:rsidP="009D504B">
      <w:pPr>
        <w:pStyle w:val="ListParagraph"/>
        <w:numPr>
          <w:ilvl w:val="0"/>
          <w:numId w:val="26"/>
        </w:numPr>
        <w:pBdr>
          <w:top w:val="nil"/>
          <w:left w:val="nil"/>
          <w:bottom w:val="nil"/>
          <w:right w:val="nil"/>
          <w:between w:val="nil"/>
          <w:bar w:val="nil"/>
        </w:pBdr>
        <w:rPr>
          <w:rFonts w:eastAsia="Arial Unicode MS" w:cs="Arial Unicode MS"/>
          <w:color w:val="000000"/>
          <w:sz w:val="28"/>
          <w:szCs w:val="28"/>
          <w:bdr w:val="nil"/>
          <w:lang w:val="en-US"/>
        </w:rPr>
      </w:pPr>
      <w:r w:rsidRPr="00C2135E">
        <w:rPr>
          <w:rFonts w:eastAsia="Arial Unicode MS" w:cs="Arial Unicode MS"/>
          <w:color w:val="000000"/>
          <w:sz w:val="28"/>
          <w:szCs w:val="28"/>
          <w:bdr w:val="nil"/>
          <w:lang w:val="en-US"/>
        </w:rPr>
        <w:t xml:space="preserve">specify amounts, formulae or other matters on the basis of which prices are to be </w:t>
      </w:r>
      <w:proofErr w:type="gramStart"/>
      <w:r w:rsidRPr="00C2135E">
        <w:rPr>
          <w:rFonts w:eastAsia="Arial Unicode MS" w:cs="Arial Unicode MS"/>
          <w:color w:val="000000"/>
          <w:sz w:val="28"/>
          <w:szCs w:val="28"/>
          <w:bdr w:val="nil"/>
          <w:lang w:val="en-US"/>
        </w:rPr>
        <w:t>determined;</w:t>
      </w:r>
      <w:proofErr w:type="gramEnd"/>
      <w:r>
        <w:rPr>
          <w:rFonts w:eastAsia="Arial Unicode MS" w:cs="Arial Unicode MS"/>
          <w:color w:val="000000"/>
          <w:sz w:val="28"/>
          <w:szCs w:val="28"/>
          <w:bdr w:val="nil"/>
          <w:lang w:val="en-US"/>
        </w:rPr>
        <w:t xml:space="preserve"> </w:t>
      </w:r>
    </w:p>
    <w:p w14:paraId="020555AE" w14:textId="77777777" w:rsidR="009D504B" w:rsidRDefault="000D341E" w:rsidP="009D504B">
      <w:pPr>
        <w:pStyle w:val="ListParagraph"/>
        <w:numPr>
          <w:ilvl w:val="0"/>
          <w:numId w:val="26"/>
        </w:numPr>
        <w:pBdr>
          <w:top w:val="nil"/>
          <w:left w:val="nil"/>
          <w:bottom w:val="nil"/>
          <w:right w:val="nil"/>
          <w:between w:val="nil"/>
          <w:bar w:val="nil"/>
        </w:pBdr>
        <w:rPr>
          <w:rFonts w:eastAsia="Arial Unicode MS" w:cs="Arial Unicode MS"/>
          <w:color w:val="000000"/>
          <w:sz w:val="28"/>
          <w:szCs w:val="28"/>
          <w:bdr w:val="nil"/>
          <w:lang w:val="en-US"/>
        </w:rPr>
      </w:pPr>
      <w:r w:rsidRPr="00E62248">
        <w:rPr>
          <w:rFonts w:eastAsia="Arial Unicode MS" w:cs="Arial Unicode MS"/>
          <w:color w:val="000000"/>
          <w:sz w:val="28"/>
          <w:szCs w:val="28"/>
          <w:bdr w:val="nil"/>
          <w:lang w:val="en-US"/>
        </w:rPr>
        <w:t xml:space="preserve">provide for prices to be determined for, or by reference to, components of services or groups of </w:t>
      </w:r>
      <w:proofErr w:type="gramStart"/>
      <w:r w:rsidRPr="00E62248">
        <w:rPr>
          <w:rFonts w:eastAsia="Arial Unicode MS" w:cs="Arial Unicode MS"/>
          <w:color w:val="000000"/>
          <w:sz w:val="28"/>
          <w:szCs w:val="28"/>
          <w:bdr w:val="nil"/>
          <w:lang w:val="en-US"/>
        </w:rPr>
        <w:t>services;</w:t>
      </w:r>
      <w:proofErr w:type="gramEnd"/>
      <w:r>
        <w:rPr>
          <w:rFonts w:eastAsia="Arial Unicode MS" w:cs="Arial Unicode MS"/>
          <w:color w:val="000000"/>
          <w:sz w:val="28"/>
          <w:szCs w:val="28"/>
          <w:bdr w:val="nil"/>
          <w:lang w:val="en-US"/>
        </w:rPr>
        <w:t xml:space="preserve"> </w:t>
      </w:r>
    </w:p>
    <w:p w14:paraId="279AFEC1" w14:textId="77777777" w:rsidR="009D504B" w:rsidRDefault="000D341E" w:rsidP="009D504B">
      <w:pPr>
        <w:pStyle w:val="ListParagraph"/>
        <w:numPr>
          <w:ilvl w:val="0"/>
          <w:numId w:val="26"/>
        </w:numPr>
        <w:pBdr>
          <w:top w:val="nil"/>
          <w:left w:val="nil"/>
          <w:bottom w:val="nil"/>
          <w:right w:val="nil"/>
          <w:between w:val="nil"/>
          <w:bar w:val="nil"/>
        </w:pBdr>
        <w:rPr>
          <w:rFonts w:eastAsia="Arial Unicode MS" w:cs="Arial Unicode MS"/>
          <w:color w:val="000000"/>
          <w:sz w:val="28"/>
          <w:szCs w:val="28"/>
          <w:bdr w:val="nil"/>
          <w:lang w:val="en-US"/>
        </w:rPr>
      </w:pPr>
      <w:r w:rsidRPr="00E62248">
        <w:rPr>
          <w:rFonts w:eastAsia="Arial Unicode MS" w:cs="Arial Unicode MS"/>
          <w:color w:val="000000"/>
          <w:sz w:val="28"/>
          <w:szCs w:val="28"/>
          <w:bdr w:val="nil"/>
          <w:lang w:val="en-US"/>
        </w:rPr>
        <w:t xml:space="preserve">make different provision for different services or provision for some services but not </w:t>
      </w:r>
      <w:proofErr w:type="gramStart"/>
      <w:r w:rsidRPr="00E62248">
        <w:rPr>
          <w:rFonts w:eastAsia="Arial Unicode MS" w:cs="Arial Unicode MS"/>
          <w:color w:val="000000"/>
          <w:sz w:val="28"/>
          <w:szCs w:val="28"/>
          <w:bdr w:val="nil"/>
          <w:lang w:val="en-US"/>
        </w:rPr>
        <w:t>others;</w:t>
      </w:r>
      <w:proofErr w:type="gramEnd"/>
      <w:r>
        <w:rPr>
          <w:rFonts w:eastAsia="Arial Unicode MS" w:cs="Arial Unicode MS"/>
          <w:color w:val="000000"/>
          <w:sz w:val="28"/>
          <w:szCs w:val="28"/>
          <w:bdr w:val="nil"/>
          <w:lang w:val="en-US"/>
        </w:rPr>
        <w:t xml:space="preserve"> </w:t>
      </w:r>
    </w:p>
    <w:p w14:paraId="04C8926F" w14:textId="77777777" w:rsidR="009D504B" w:rsidRDefault="000D341E" w:rsidP="009D504B">
      <w:pPr>
        <w:pStyle w:val="ListParagraph"/>
        <w:numPr>
          <w:ilvl w:val="0"/>
          <w:numId w:val="26"/>
        </w:numPr>
        <w:pBdr>
          <w:top w:val="nil"/>
          <w:left w:val="nil"/>
          <w:bottom w:val="nil"/>
          <w:right w:val="nil"/>
          <w:between w:val="nil"/>
          <w:bar w:val="nil"/>
        </w:pBdr>
        <w:rPr>
          <w:rFonts w:eastAsia="Arial Unicode MS" w:cs="Arial Unicode MS"/>
          <w:color w:val="000000"/>
          <w:sz w:val="28"/>
          <w:szCs w:val="28"/>
          <w:bdr w:val="nil"/>
          <w:lang w:val="en-US"/>
        </w:rPr>
      </w:pPr>
      <w:r w:rsidRPr="00E32160">
        <w:rPr>
          <w:rFonts w:eastAsia="Arial Unicode MS" w:cs="Arial Unicode MS"/>
          <w:color w:val="000000"/>
          <w:sz w:val="28"/>
          <w:szCs w:val="28"/>
          <w:bdr w:val="nil"/>
          <w:lang w:val="en-US"/>
        </w:rPr>
        <w:t xml:space="preserve">make different provision for the same service by reference to different circumstances or areas, different descriptions of provider, or other factors relevant to the provision of the service or the arrangements for its provision; </w:t>
      </w:r>
      <w:r w:rsidR="009D504B" w:rsidRPr="00020AA5">
        <w:rPr>
          <w:rFonts w:eastAsia="Arial Unicode MS" w:cs="Arial Unicode MS"/>
          <w:color w:val="000000" w:themeColor="text1"/>
          <w:sz w:val="28"/>
          <w:szCs w:val="28"/>
          <w:bdr w:val="nil"/>
          <w:lang w:val="en-US"/>
        </w:rPr>
        <w:t>and</w:t>
      </w:r>
      <w:r w:rsidR="009D504B">
        <w:rPr>
          <w:rFonts w:eastAsia="Arial Unicode MS" w:cs="Arial Unicode MS"/>
          <w:color w:val="000000"/>
          <w:sz w:val="28"/>
          <w:szCs w:val="28"/>
          <w:bdr w:val="nil"/>
          <w:lang w:val="en-US"/>
        </w:rPr>
        <w:t xml:space="preserve"> </w:t>
      </w:r>
    </w:p>
    <w:p w14:paraId="7DDB4185" w14:textId="1DA655D6" w:rsidR="000D341E" w:rsidRPr="00E32160" w:rsidRDefault="000D341E" w:rsidP="009D504B">
      <w:pPr>
        <w:pStyle w:val="ListParagraph"/>
        <w:numPr>
          <w:ilvl w:val="0"/>
          <w:numId w:val="26"/>
        </w:numPr>
        <w:pBdr>
          <w:top w:val="nil"/>
          <w:left w:val="nil"/>
          <w:bottom w:val="nil"/>
          <w:right w:val="nil"/>
          <w:between w:val="nil"/>
          <w:bar w:val="nil"/>
        </w:pBdr>
        <w:rPr>
          <w:rFonts w:eastAsia="Arial Unicode MS" w:cs="Arial Unicode MS"/>
          <w:color w:val="000000"/>
          <w:sz w:val="28"/>
          <w:szCs w:val="28"/>
          <w:bdr w:val="nil"/>
          <w:lang w:val="en-US"/>
        </w:rPr>
      </w:pPr>
      <w:r w:rsidRPr="00E32160">
        <w:rPr>
          <w:rFonts w:eastAsia="Arial Unicode MS" w:cs="Arial Unicode MS"/>
          <w:color w:val="000000"/>
          <w:sz w:val="28"/>
          <w:szCs w:val="28"/>
          <w:bdr w:val="nil"/>
          <w:lang w:val="en-US"/>
        </w:rPr>
        <w:t>confer a discretion on the commissioner of a service or on NHS England.</w:t>
      </w:r>
    </w:p>
    <w:p w14:paraId="5F6D8A9E" w14:textId="52E42CD4" w:rsidR="000D341E" w:rsidRPr="002B1072" w:rsidRDefault="000D341E" w:rsidP="006C3D22">
      <w:pPr>
        <w:pStyle w:val="ListParagraph"/>
        <w:pBdr>
          <w:top w:val="nil"/>
          <w:left w:val="nil"/>
          <w:bottom w:val="nil"/>
          <w:right w:val="nil"/>
          <w:between w:val="nil"/>
          <w:bar w:val="nil"/>
        </w:pBdr>
        <w:rPr>
          <w:rFonts w:eastAsia="Arial Unicode MS" w:cs="Arial Unicode MS"/>
          <w:color w:val="000000" w:themeColor="text1"/>
          <w:sz w:val="28"/>
          <w:szCs w:val="28"/>
          <w:bdr w:val="nil"/>
          <w:lang w:val="en-US"/>
        </w:rPr>
      </w:pPr>
      <w:r w:rsidRPr="00016030">
        <w:rPr>
          <w:rFonts w:eastAsia="Arial Unicode MS" w:cs="Arial Unicode MS"/>
          <w:color w:val="000000"/>
          <w:sz w:val="28"/>
          <w:szCs w:val="28"/>
          <w:bdr w:val="nil"/>
          <w:lang w:val="en-US"/>
        </w:rPr>
        <w:t>Rules may allow or require a price to be agreed between the</w:t>
      </w:r>
      <w:r>
        <w:rPr>
          <w:rFonts w:eastAsia="Arial Unicode MS" w:cs="Arial Unicode MS"/>
          <w:color w:val="000000"/>
          <w:sz w:val="28"/>
          <w:szCs w:val="28"/>
          <w:bdr w:val="nil"/>
          <w:lang w:val="en-US"/>
        </w:rPr>
        <w:t xml:space="preserve"> </w:t>
      </w:r>
      <w:r w:rsidRPr="00016030">
        <w:rPr>
          <w:rFonts w:eastAsia="Arial Unicode MS" w:cs="Arial Unicode MS"/>
          <w:color w:val="000000"/>
          <w:sz w:val="28"/>
          <w:szCs w:val="28"/>
          <w:bdr w:val="nil"/>
          <w:lang w:val="en-US"/>
        </w:rPr>
        <w:t>commissioner</w:t>
      </w:r>
      <w:r w:rsidR="0037228D">
        <w:rPr>
          <w:rFonts w:eastAsia="Arial Unicode MS" w:cs="Arial Unicode MS"/>
          <w:color w:val="000000"/>
          <w:sz w:val="28"/>
          <w:szCs w:val="28"/>
          <w:bdr w:val="nil"/>
          <w:lang w:val="en-US"/>
        </w:rPr>
        <w:t xml:space="preserve"> </w:t>
      </w:r>
      <w:r w:rsidRPr="00016030">
        <w:rPr>
          <w:rFonts w:eastAsia="Arial Unicode MS" w:cs="Arial Unicode MS"/>
          <w:color w:val="000000"/>
          <w:sz w:val="28"/>
          <w:szCs w:val="28"/>
          <w:bdr w:val="nil"/>
          <w:lang w:val="en-US"/>
        </w:rPr>
        <w:t>and the provider of a service</w:t>
      </w:r>
      <w:r>
        <w:rPr>
          <w:rFonts w:eastAsia="Arial Unicode MS" w:cs="Arial Unicode MS"/>
          <w:color w:val="000000"/>
          <w:sz w:val="28"/>
          <w:szCs w:val="28"/>
          <w:bdr w:val="nil"/>
          <w:lang w:val="en-US"/>
        </w:rPr>
        <w:t xml:space="preserve"> and </w:t>
      </w:r>
      <w:r w:rsidRPr="006156E3">
        <w:rPr>
          <w:rFonts w:eastAsia="Arial Unicode MS" w:cs="Arial Unicode MS"/>
          <w:color w:val="000000"/>
          <w:sz w:val="28"/>
          <w:szCs w:val="28"/>
          <w:bdr w:val="nil"/>
          <w:lang w:val="en-US"/>
        </w:rPr>
        <w:t>make provision about how the price is to be agreed</w:t>
      </w:r>
      <w:r>
        <w:rPr>
          <w:rFonts w:eastAsia="Arial Unicode MS" w:cs="Arial Unicode MS"/>
          <w:color w:val="000000"/>
          <w:sz w:val="28"/>
          <w:szCs w:val="28"/>
          <w:bdr w:val="nil"/>
          <w:lang w:val="en-US"/>
        </w:rPr>
        <w:t xml:space="preserve">. </w:t>
      </w:r>
      <w:proofErr w:type="gramStart"/>
      <w:r w:rsidRPr="003604D2">
        <w:rPr>
          <w:rFonts w:eastAsia="Arial Unicode MS" w:cs="Arial Unicode MS"/>
          <w:color w:val="000000"/>
          <w:sz w:val="28"/>
          <w:szCs w:val="28"/>
          <w:bdr w:val="nil"/>
          <w:lang w:val="en-US"/>
        </w:rPr>
        <w:t>For the purpose of</w:t>
      </w:r>
      <w:proofErr w:type="gramEnd"/>
      <w:r w:rsidRPr="003604D2">
        <w:rPr>
          <w:rFonts w:eastAsia="Arial Unicode MS" w:cs="Arial Unicode MS"/>
          <w:color w:val="000000"/>
          <w:sz w:val="28"/>
          <w:szCs w:val="28"/>
          <w:bdr w:val="nil"/>
          <w:lang w:val="en-US"/>
        </w:rPr>
        <w:t xml:space="preserve"> securing that the prices payable for the provision</w:t>
      </w:r>
      <w:r>
        <w:rPr>
          <w:rFonts w:eastAsia="Arial Unicode MS" w:cs="Arial Unicode MS"/>
          <w:color w:val="000000"/>
          <w:sz w:val="28"/>
          <w:szCs w:val="28"/>
          <w:bdr w:val="nil"/>
          <w:lang w:val="en-US"/>
        </w:rPr>
        <w:t xml:space="preserve"> </w:t>
      </w:r>
      <w:r w:rsidRPr="00016030">
        <w:rPr>
          <w:rFonts w:eastAsia="Arial Unicode MS" w:cs="Arial Unicode MS"/>
          <w:color w:val="000000"/>
          <w:sz w:val="28"/>
          <w:szCs w:val="28"/>
          <w:bdr w:val="nil"/>
          <w:lang w:val="en-US"/>
        </w:rPr>
        <w:t>result in a fair level</w:t>
      </w:r>
      <w:r>
        <w:rPr>
          <w:rFonts w:eastAsia="Arial Unicode MS" w:cs="Arial Unicode MS"/>
          <w:color w:val="000000"/>
          <w:sz w:val="28"/>
          <w:szCs w:val="28"/>
          <w:bdr w:val="nil"/>
          <w:lang w:val="en-US"/>
        </w:rPr>
        <w:t xml:space="preserve"> </w:t>
      </w:r>
      <w:r w:rsidRPr="00901AFF">
        <w:rPr>
          <w:rFonts w:eastAsia="Arial Unicode MS" w:cs="Arial Unicode MS"/>
          <w:color w:val="000000"/>
          <w:sz w:val="28"/>
          <w:szCs w:val="28"/>
          <w:bdr w:val="nil"/>
          <w:lang w:val="en-US"/>
        </w:rPr>
        <w:t>of pay for providers of those services, NHS England must have regard to</w:t>
      </w:r>
      <w:r>
        <w:rPr>
          <w:rFonts w:eastAsia="Arial Unicode MS" w:cs="Arial Unicode MS"/>
          <w:color w:val="000000"/>
          <w:sz w:val="28"/>
          <w:szCs w:val="28"/>
          <w:bdr w:val="nil"/>
          <w:lang w:val="en-US"/>
        </w:rPr>
        <w:t xml:space="preserve"> </w:t>
      </w:r>
      <w:r w:rsidRPr="00901AFF">
        <w:rPr>
          <w:rFonts w:eastAsia="Arial Unicode MS" w:cs="Arial Unicode MS"/>
          <w:color w:val="000000"/>
          <w:sz w:val="28"/>
          <w:szCs w:val="28"/>
          <w:bdr w:val="nil"/>
          <w:lang w:val="en-US"/>
        </w:rPr>
        <w:t>differences in the costs incurred in providing those services to persons of different descriptions, and</w:t>
      </w:r>
      <w:r>
        <w:rPr>
          <w:rFonts w:eastAsia="Arial Unicode MS" w:cs="Arial Unicode MS"/>
          <w:color w:val="000000"/>
          <w:sz w:val="28"/>
          <w:szCs w:val="28"/>
          <w:bdr w:val="nil"/>
          <w:lang w:val="en-US"/>
        </w:rPr>
        <w:t xml:space="preserve"> </w:t>
      </w:r>
      <w:r w:rsidRPr="003D2C68">
        <w:rPr>
          <w:rFonts w:eastAsia="Arial Unicode MS" w:cs="Arial Unicode MS"/>
          <w:color w:val="000000"/>
          <w:sz w:val="28"/>
          <w:szCs w:val="28"/>
          <w:bdr w:val="nil"/>
          <w:lang w:val="en-US"/>
        </w:rPr>
        <w:t>differences between providers with respect to the range of those services that they provide</w:t>
      </w:r>
      <w:r w:rsidR="002B1072">
        <w:rPr>
          <w:rFonts w:eastAsia="Arial Unicode MS" w:cs="Arial Unicode MS"/>
          <w:color w:val="000000" w:themeColor="text1"/>
          <w:sz w:val="28"/>
          <w:szCs w:val="28"/>
          <w:bdr w:val="nil"/>
          <w:lang w:val="en-US"/>
        </w:rPr>
        <w:t>.</w:t>
      </w:r>
    </w:p>
    <w:p w14:paraId="086BC09E" w14:textId="12E3A00C" w:rsidR="000D341E" w:rsidRPr="00521F22" w:rsidRDefault="000D341E" w:rsidP="006C3D22">
      <w:pPr>
        <w:pStyle w:val="ListParagraph"/>
        <w:pBdr>
          <w:top w:val="nil"/>
          <w:left w:val="nil"/>
          <w:bottom w:val="nil"/>
          <w:right w:val="nil"/>
          <w:between w:val="nil"/>
          <w:bar w:val="nil"/>
        </w:pBdr>
        <w:rPr>
          <w:rFonts w:eastAsia="Arial Unicode MS" w:cs="Arial Unicode MS"/>
          <w:color w:val="5B9BD5" w:themeColor="accent5"/>
          <w:sz w:val="28"/>
          <w:szCs w:val="28"/>
          <w:bdr w:val="nil"/>
          <w:lang w:val="en-US"/>
        </w:rPr>
      </w:pPr>
      <w:r w:rsidRPr="00521F22">
        <w:rPr>
          <w:rFonts w:eastAsia="Arial Unicode MS" w:cs="Arial Unicode MS"/>
          <w:color w:val="000000"/>
          <w:sz w:val="28"/>
          <w:szCs w:val="28"/>
          <w:bdr w:val="nil"/>
          <w:lang w:val="en-US"/>
        </w:rPr>
        <w:t>The NHS payment scheme may contain rules relating to the making of payments to the provider of a service for the provision of that service</w:t>
      </w:r>
      <w:r w:rsidR="00521F22">
        <w:rPr>
          <w:rFonts w:eastAsia="Arial Unicode MS" w:cs="Arial Unicode MS"/>
          <w:color w:val="000000"/>
          <w:sz w:val="28"/>
          <w:szCs w:val="28"/>
          <w:bdr w:val="nil"/>
          <w:lang w:val="en-US"/>
        </w:rPr>
        <w:t>.</w:t>
      </w:r>
    </w:p>
    <w:p w14:paraId="28C9327C" w14:textId="77777777" w:rsidR="00EE0B38" w:rsidRDefault="00EE0B38" w:rsidP="00EE0B38">
      <w:pPr>
        <w:pBdr>
          <w:top w:val="nil"/>
          <w:left w:val="nil"/>
          <w:bottom w:val="nil"/>
          <w:right w:val="nil"/>
          <w:between w:val="nil"/>
          <w:bar w:val="nil"/>
        </w:pBdr>
        <w:ind w:firstLine="720"/>
        <w:rPr>
          <w:rFonts w:eastAsia="Arial Unicode MS" w:cs="Arial Unicode MS"/>
          <w:color w:val="000000"/>
          <w:sz w:val="28"/>
          <w:szCs w:val="28"/>
          <w:bdr w:val="nil"/>
          <w:lang w:val="en-US"/>
        </w:rPr>
      </w:pPr>
    </w:p>
    <w:p w14:paraId="5B14C488" w14:textId="77777777" w:rsidR="00521F22" w:rsidRDefault="00521F22" w:rsidP="00EE0B38">
      <w:pPr>
        <w:pBdr>
          <w:top w:val="nil"/>
          <w:left w:val="nil"/>
          <w:bottom w:val="nil"/>
          <w:right w:val="nil"/>
          <w:between w:val="nil"/>
          <w:bar w:val="nil"/>
        </w:pBdr>
        <w:ind w:firstLine="720"/>
        <w:rPr>
          <w:rFonts w:eastAsia="Arial Unicode MS" w:cs="Arial Unicode MS"/>
          <w:color w:val="000000"/>
          <w:sz w:val="28"/>
          <w:szCs w:val="28"/>
          <w:bdr w:val="nil"/>
          <w:lang w:val="en-US"/>
        </w:rPr>
      </w:pPr>
    </w:p>
    <w:p w14:paraId="49A284A8" w14:textId="417FB377" w:rsidR="000D341E" w:rsidRPr="00EE0B38" w:rsidRDefault="000D341E" w:rsidP="00EE0B38">
      <w:pPr>
        <w:pBdr>
          <w:top w:val="nil"/>
          <w:left w:val="nil"/>
          <w:bottom w:val="nil"/>
          <w:right w:val="nil"/>
          <w:between w:val="nil"/>
          <w:bar w:val="nil"/>
        </w:pBdr>
        <w:ind w:firstLine="720"/>
        <w:rPr>
          <w:rFonts w:eastAsia="Arial Unicode MS" w:cs="Arial Unicode MS"/>
          <w:color w:val="000000"/>
          <w:sz w:val="28"/>
          <w:szCs w:val="28"/>
          <w:bdr w:val="nil"/>
          <w:lang w:val="en-US"/>
        </w:rPr>
      </w:pPr>
      <w:r w:rsidRPr="00EE0B38">
        <w:rPr>
          <w:rFonts w:eastAsia="Arial Unicode MS" w:cs="Arial Unicode MS"/>
          <w:color w:val="000000"/>
          <w:sz w:val="28"/>
          <w:szCs w:val="28"/>
          <w:bdr w:val="nil"/>
          <w:lang w:val="en-US"/>
        </w:rPr>
        <w:lastRenderedPageBreak/>
        <w:t>Before publishing the NHS payment scheme, NHS England must</w:t>
      </w:r>
    </w:p>
    <w:p w14:paraId="7AC7F10D" w14:textId="77777777" w:rsidR="000D341E" w:rsidRPr="00491FF5" w:rsidRDefault="000D341E"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r w:rsidRPr="00491FF5">
        <w:rPr>
          <w:rFonts w:eastAsia="Arial Unicode MS" w:cs="Arial Unicode MS"/>
          <w:color w:val="000000"/>
          <w:sz w:val="28"/>
          <w:szCs w:val="28"/>
          <w:bdr w:val="nil"/>
          <w:lang w:val="en-US"/>
        </w:rPr>
        <w:t>carry out an assessment of the likely impact of the proposed scheme, or</w:t>
      </w:r>
    </w:p>
    <w:p w14:paraId="63777FA0" w14:textId="77777777" w:rsidR="000D341E" w:rsidRPr="00491FF5" w:rsidRDefault="000D341E"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r w:rsidRPr="00491FF5">
        <w:rPr>
          <w:rFonts w:eastAsia="Arial Unicode MS" w:cs="Arial Unicode MS"/>
          <w:color w:val="000000"/>
          <w:sz w:val="28"/>
          <w:szCs w:val="28"/>
          <w:bdr w:val="nil"/>
          <w:lang w:val="en-US"/>
        </w:rPr>
        <w:t>publish a statement setting out its reasons for concluding that such assessment is not needed.</w:t>
      </w:r>
    </w:p>
    <w:p w14:paraId="7A67F95C" w14:textId="0DA31E44" w:rsidR="000D341E" w:rsidRPr="0037228D" w:rsidRDefault="000D341E" w:rsidP="000651B3">
      <w:pPr>
        <w:pStyle w:val="ListParagraph"/>
        <w:pBdr>
          <w:top w:val="nil"/>
          <w:left w:val="nil"/>
          <w:bottom w:val="nil"/>
          <w:right w:val="nil"/>
          <w:between w:val="nil"/>
          <w:bar w:val="nil"/>
        </w:pBdr>
        <w:rPr>
          <w:rFonts w:eastAsia="Arial Unicode MS" w:cs="Arial Unicode MS"/>
          <w:color w:val="5B9BD5" w:themeColor="accent5"/>
          <w:sz w:val="28"/>
          <w:szCs w:val="28"/>
          <w:bdr w:val="nil"/>
          <w:lang w:val="en-US"/>
        </w:rPr>
      </w:pPr>
      <w:r w:rsidRPr="00491FF5">
        <w:rPr>
          <w:rFonts w:eastAsia="Arial Unicode MS" w:cs="Arial Unicode MS"/>
          <w:color w:val="000000"/>
          <w:sz w:val="28"/>
          <w:szCs w:val="28"/>
          <w:bdr w:val="nil"/>
          <w:lang w:val="en-US"/>
        </w:rPr>
        <w:t xml:space="preserve">NHS England must </w:t>
      </w:r>
      <w:r w:rsidR="00F071F7">
        <w:rPr>
          <w:rFonts w:eastAsia="Arial Unicode MS" w:cs="Arial Unicode MS"/>
          <w:color w:val="000000"/>
          <w:sz w:val="28"/>
          <w:szCs w:val="28"/>
          <w:bdr w:val="nil"/>
          <w:lang w:val="en-US"/>
        </w:rPr>
        <w:t xml:space="preserve">also </w:t>
      </w:r>
      <w:r w:rsidRPr="00491FF5">
        <w:rPr>
          <w:rFonts w:eastAsia="Arial Unicode MS" w:cs="Arial Unicode MS"/>
          <w:color w:val="000000"/>
          <w:sz w:val="28"/>
          <w:szCs w:val="28"/>
          <w:bdr w:val="nil"/>
          <w:lang w:val="en-US"/>
        </w:rPr>
        <w:t>consult</w:t>
      </w:r>
      <w:r>
        <w:rPr>
          <w:rFonts w:eastAsia="Arial Unicode MS" w:cs="Arial Unicode MS"/>
          <w:color w:val="000000"/>
          <w:sz w:val="28"/>
          <w:szCs w:val="28"/>
          <w:bdr w:val="nil"/>
          <w:lang w:val="en-US"/>
        </w:rPr>
        <w:t xml:space="preserve">: </w:t>
      </w:r>
      <w:r w:rsidRPr="004A14BC">
        <w:rPr>
          <w:rFonts w:eastAsia="Arial Unicode MS" w:cs="Arial Unicode MS"/>
          <w:color w:val="000000"/>
          <w:sz w:val="28"/>
          <w:szCs w:val="28"/>
          <w:bdr w:val="nil"/>
          <w:lang w:val="en-US"/>
        </w:rPr>
        <w:t xml:space="preserve">each </w:t>
      </w:r>
      <w:r w:rsidR="00F071F7">
        <w:rPr>
          <w:rFonts w:eastAsia="Arial Unicode MS" w:cs="Arial Unicode MS"/>
          <w:color w:val="000000"/>
          <w:sz w:val="28"/>
          <w:szCs w:val="28"/>
          <w:bdr w:val="nil"/>
          <w:lang w:val="en-US"/>
        </w:rPr>
        <w:t>ICB</w:t>
      </w:r>
      <w:r w:rsidRPr="004A14BC">
        <w:rPr>
          <w:rFonts w:eastAsia="Arial Unicode MS" w:cs="Arial Unicode MS"/>
          <w:color w:val="000000"/>
          <w:sz w:val="28"/>
          <w:szCs w:val="28"/>
          <w:bdr w:val="nil"/>
          <w:lang w:val="en-US"/>
        </w:rPr>
        <w:t>;</w:t>
      </w:r>
      <w:r>
        <w:rPr>
          <w:rFonts w:eastAsia="Arial Unicode MS" w:cs="Arial Unicode MS"/>
          <w:color w:val="000000"/>
          <w:sz w:val="28"/>
          <w:szCs w:val="28"/>
          <w:bdr w:val="nil"/>
          <w:lang w:val="en-US"/>
        </w:rPr>
        <w:t xml:space="preserve"> </w:t>
      </w:r>
      <w:r w:rsidRPr="004A14BC">
        <w:rPr>
          <w:rFonts w:eastAsia="Arial Unicode MS" w:cs="Arial Unicode MS"/>
          <w:color w:val="000000"/>
          <w:sz w:val="28"/>
          <w:szCs w:val="28"/>
          <w:bdr w:val="nil"/>
          <w:lang w:val="en-US"/>
        </w:rPr>
        <w:t>each relevant provider;</w:t>
      </w:r>
      <w:r w:rsidR="0072178C">
        <w:rPr>
          <w:rFonts w:eastAsia="Arial Unicode MS" w:cs="Arial Unicode MS"/>
          <w:color w:val="000000"/>
          <w:sz w:val="28"/>
          <w:szCs w:val="28"/>
          <w:bdr w:val="nil"/>
          <w:lang w:val="en-US"/>
        </w:rPr>
        <w:t xml:space="preserve"> and</w:t>
      </w:r>
      <w:r>
        <w:rPr>
          <w:rFonts w:eastAsia="Arial Unicode MS" w:cs="Arial Unicode MS"/>
          <w:color w:val="000000"/>
          <w:sz w:val="28"/>
          <w:szCs w:val="28"/>
          <w:bdr w:val="nil"/>
          <w:lang w:val="en-US"/>
        </w:rPr>
        <w:t xml:space="preserve"> </w:t>
      </w:r>
      <w:r w:rsidRPr="004A14BC">
        <w:rPr>
          <w:rFonts w:eastAsia="Arial Unicode MS" w:cs="Arial Unicode MS"/>
          <w:color w:val="000000"/>
          <w:sz w:val="28"/>
          <w:szCs w:val="28"/>
          <w:bdr w:val="nil"/>
          <w:lang w:val="en-US"/>
        </w:rPr>
        <w:t>such other persons as NHS England considers appropriate.</w:t>
      </w:r>
      <w:r w:rsidR="0072178C">
        <w:rPr>
          <w:rFonts w:eastAsia="Arial Unicode MS" w:cs="Arial Unicode MS"/>
          <w:color w:val="000000"/>
          <w:sz w:val="28"/>
          <w:szCs w:val="28"/>
          <w:bdr w:val="nil"/>
          <w:lang w:val="en-US"/>
        </w:rPr>
        <w:t xml:space="preserve"> </w:t>
      </w:r>
      <w:r w:rsidRPr="0072178C">
        <w:rPr>
          <w:rFonts w:eastAsia="Arial Unicode MS" w:cs="Arial Unicode MS"/>
          <w:color w:val="000000"/>
          <w:sz w:val="28"/>
          <w:szCs w:val="28"/>
          <w:bdr w:val="nil"/>
          <w:lang w:val="en-US"/>
        </w:rPr>
        <w:t>In this section</w:t>
      </w:r>
      <w:r w:rsidR="0072178C">
        <w:rPr>
          <w:rFonts w:eastAsia="Arial Unicode MS" w:cs="Arial Unicode MS"/>
          <w:color w:val="000000"/>
          <w:sz w:val="28"/>
          <w:szCs w:val="28"/>
          <w:bdr w:val="nil"/>
          <w:lang w:val="en-US"/>
        </w:rPr>
        <w:t xml:space="preserve"> of the </w:t>
      </w:r>
      <w:r w:rsidR="000651B3">
        <w:rPr>
          <w:rFonts w:eastAsia="Arial Unicode MS" w:cs="Arial Unicode MS"/>
          <w:color w:val="000000"/>
          <w:sz w:val="28"/>
          <w:szCs w:val="28"/>
          <w:bdr w:val="nil"/>
          <w:lang w:val="en-US"/>
        </w:rPr>
        <w:t>Bill</w:t>
      </w:r>
      <w:r w:rsidRPr="0072178C">
        <w:rPr>
          <w:rFonts w:eastAsia="Arial Unicode MS" w:cs="Arial Unicode MS"/>
          <w:color w:val="000000"/>
          <w:sz w:val="28"/>
          <w:szCs w:val="28"/>
          <w:bdr w:val="nil"/>
          <w:lang w:val="en-US"/>
        </w:rPr>
        <w:t xml:space="preserve"> </w:t>
      </w:r>
      <w:r w:rsidR="0072178C" w:rsidRPr="0072178C">
        <w:rPr>
          <w:rFonts w:eastAsia="Arial Unicode MS" w:cs="Arial Unicode MS"/>
          <w:color w:val="000000"/>
          <w:sz w:val="28"/>
          <w:szCs w:val="28"/>
          <w:bdr w:val="nil"/>
          <w:lang w:val="en-US"/>
        </w:rPr>
        <w:t>‘</w:t>
      </w:r>
      <w:r w:rsidRPr="0072178C">
        <w:rPr>
          <w:rFonts w:eastAsia="Arial Unicode MS" w:cs="Arial Unicode MS"/>
          <w:color w:val="000000"/>
          <w:sz w:val="28"/>
          <w:szCs w:val="28"/>
          <w:bdr w:val="nil"/>
          <w:lang w:val="en-US"/>
        </w:rPr>
        <w:t>relevant provider</w:t>
      </w:r>
      <w:r w:rsidR="000651B3">
        <w:rPr>
          <w:rFonts w:eastAsia="Arial Unicode MS" w:cs="Arial Unicode MS"/>
          <w:color w:val="000000"/>
          <w:sz w:val="28"/>
          <w:szCs w:val="28"/>
          <w:bdr w:val="nil"/>
          <w:lang w:val="en-US"/>
        </w:rPr>
        <w:t>’</w:t>
      </w:r>
      <w:r w:rsidRPr="000651B3">
        <w:rPr>
          <w:rFonts w:eastAsia="Arial Unicode MS" w:cs="Arial Unicode MS"/>
          <w:color w:val="000000"/>
          <w:sz w:val="28"/>
          <w:szCs w:val="28"/>
          <w:bdr w:val="nil"/>
          <w:lang w:val="en-US"/>
        </w:rPr>
        <w:t xml:space="preserve"> means a </w:t>
      </w:r>
      <w:r w:rsidR="000651B3">
        <w:rPr>
          <w:rFonts w:eastAsia="Arial Unicode MS" w:cs="Arial Unicode MS"/>
          <w:color w:val="000000"/>
          <w:sz w:val="28"/>
          <w:szCs w:val="28"/>
          <w:bdr w:val="nil"/>
          <w:lang w:val="en-US"/>
        </w:rPr>
        <w:t>license</w:t>
      </w:r>
      <w:r w:rsidRPr="000651B3">
        <w:rPr>
          <w:rFonts w:eastAsia="Arial Unicode MS" w:cs="Arial Unicode MS"/>
          <w:color w:val="000000"/>
          <w:sz w:val="28"/>
          <w:szCs w:val="28"/>
          <w:bdr w:val="nil"/>
          <w:lang w:val="en-US"/>
        </w:rPr>
        <w:t xml:space="preserve"> holder, or another person, of a prescribed description, that provides health care services for the purposes of the NHS, or services in pursuance of arrangements made by NHS England or an ICB by virtue of section 7A or 7B of the National Health Service Act 2006 (Secretary of State’s public health functions).</w:t>
      </w:r>
      <w:r w:rsidR="0037228D">
        <w:rPr>
          <w:rFonts w:eastAsia="Arial Unicode MS" w:cs="Arial Unicode MS"/>
          <w:color w:val="5B9BD5" w:themeColor="accent5"/>
          <w:sz w:val="28"/>
          <w:szCs w:val="28"/>
          <w:bdr w:val="nil"/>
          <w:lang w:val="en-US"/>
        </w:rPr>
        <w:t xml:space="preserve"> </w:t>
      </w:r>
    </w:p>
    <w:p w14:paraId="01D62F45" w14:textId="77777777" w:rsidR="000D341E" w:rsidRPr="001B53CA" w:rsidRDefault="000D341E" w:rsidP="001B53CA">
      <w:pPr>
        <w:pBdr>
          <w:top w:val="nil"/>
          <w:left w:val="nil"/>
          <w:bottom w:val="nil"/>
          <w:right w:val="nil"/>
          <w:between w:val="nil"/>
          <w:bar w:val="nil"/>
        </w:pBdr>
        <w:rPr>
          <w:rFonts w:eastAsia="Arial Unicode MS" w:cs="Arial Unicode MS"/>
          <w:color w:val="000000"/>
          <w:sz w:val="28"/>
          <w:szCs w:val="28"/>
          <w:bdr w:val="nil"/>
          <w:lang w:val="en-US"/>
        </w:rPr>
      </w:pPr>
    </w:p>
    <w:p w14:paraId="10E00C76" w14:textId="77777777" w:rsidR="0024172D" w:rsidRPr="0024172D" w:rsidRDefault="0024172D" w:rsidP="00D16B6E">
      <w:pPr>
        <w:ind w:firstLine="720"/>
        <w:rPr>
          <w:i/>
          <w:iCs/>
          <w:sz w:val="28"/>
          <w:szCs w:val="28"/>
        </w:rPr>
      </w:pPr>
      <w:r w:rsidRPr="0024172D">
        <w:rPr>
          <w:i/>
          <w:iCs/>
          <w:sz w:val="28"/>
          <w:szCs w:val="28"/>
        </w:rPr>
        <w:t>Patient choice and provider selection</w:t>
      </w:r>
    </w:p>
    <w:p w14:paraId="7E4ACCA7" w14:textId="78F59F79" w:rsidR="0024172D" w:rsidRPr="0024172D" w:rsidRDefault="0024172D" w:rsidP="00C347F6">
      <w:pPr>
        <w:ind w:left="720"/>
        <w:rPr>
          <w:sz w:val="28"/>
          <w:szCs w:val="28"/>
        </w:rPr>
      </w:pPr>
      <w:r w:rsidRPr="0024172D">
        <w:rPr>
          <w:sz w:val="28"/>
          <w:szCs w:val="28"/>
        </w:rPr>
        <w:t>Clause 69 states that regulations must ensure that NHS England and ICBs commission in such a way as to enable p</w:t>
      </w:r>
      <w:r w:rsidR="006B14A3">
        <w:rPr>
          <w:sz w:val="28"/>
          <w:szCs w:val="28"/>
        </w:rPr>
        <w:t>atients</w:t>
      </w:r>
      <w:r w:rsidRPr="0024172D">
        <w:rPr>
          <w:sz w:val="28"/>
          <w:szCs w:val="28"/>
        </w:rPr>
        <w:t xml:space="preserve"> to make choices with respect to ‘specified aspects of specified treatments or other specified </w:t>
      </w:r>
      <w:proofErr w:type="gramStart"/>
      <w:r w:rsidRPr="0024172D">
        <w:rPr>
          <w:sz w:val="28"/>
          <w:szCs w:val="28"/>
        </w:rPr>
        <w:t>services’, and</w:t>
      </w:r>
      <w:proofErr w:type="gramEnd"/>
      <w:r w:rsidRPr="0024172D">
        <w:rPr>
          <w:sz w:val="28"/>
          <w:szCs w:val="28"/>
        </w:rPr>
        <w:t xml:space="preserve"> ensure that NHS England and ICBs protect and promote the rights of people to make such choices (section 6E). NHS England may enforce these regulations (6F) by investigating compliance and directing to prevent or remedy failure. Schedule 1ZA makes further provision about these undertakings in that NHS England must actually publish a ‘procedure’ to ensure patient choice</w:t>
      </w:r>
      <w:r w:rsidR="004E6424">
        <w:rPr>
          <w:sz w:val="28"/>
          <w:szCs w:val="28"/>
        </w:rPr>
        <w:t>,</w:t>
      </w:r>
      <w:r w:rsidR="00B71326">
        <w:rPr>
          <w:sz w:val="28"/>
          <w:szCs w:val="28"/>
        </w:rPr>
        <w:t xml:space="preserve"> </w:t>
      </w:r>
      <w:r w:rsidRPr="0024172D">
        <w:rPr>
          <w:sz w:val="28"/>
          <w:szCs w:val="28"/>
        </w:rPr>
        <w:t xml:space="preserve">having consulted with all appropriate parties; but it must not publish any part of any undertaking that contains commercial information or ‘private affairs’ that may harm business or personal interests. NHS England will issue certificates of compliance to ICBs only when satisfied about their undertakings. Any appeal by an ICB against NHS England’s refusal to issue a certificate </w:t>
      </w:r>
      <w:r w:rsidR="00E86FDB">
        <w:rPr>
          <w:sz w:val="28"/>
          <w:szCs w:val="28"/>
        </w:rPr>
        <w:t>‘</w:t>
      </w:r>
      <w:r w:rsidRPr="0024172D">
        <w:rPr>
          <w:sz w:val="28"/>
          <w:szCs w:val="28"/>
        </w:rPr>
        <w:t>lies to the First Tier Tribunal</w:t>
      </w:r>
      <w:r w:rsidR="00E86FDB">
        <w:rPr>
          <w:sz w:val="28"/>
          <w:szCs w:val="28"/>
        </w:rPr>
        <w:t>’</w:t>
      </w:r>
      <w:r w:rsidRPr="0024172D">
        <w:rPr>
          <w:sz w:val="28"/>
          <w:szCs w:val="28"/>
        </w:rPr>
        <w:t>.</w:t>
      </w:r>
    </w:p>
    <w:p w14:paraId="169A25F2" w14:textId="77777777" w:rsidR="0024172D" w:rsidRPr="0024172D" w:rsidRDefault="0024172D" w:rsidP="0024172D">
      <w:pPr>
        <w:rPr>
          <w:sz w:val="28"/>
          <w:szCs w:val="28"/>
        </w:rPr>
      </w:pPr>
    </w:p>
    <w:p w14:paraId="32AE7162" w14:textId="77777777" w:rsidR="0024172D" w:rsidRPr="0024172D" w:rsidRDefault="0024172D" w:rsidP="00C347F6">
      <w:pPr>
        <w:ind w:firstLine="720"/>
        <w:rPr>
          <w:i/>
          <w:iCs/>
          <w:sz w:val="28"/>
          <w:szCs w:val="28"/>
        </w:rPr>
      </w:pPr>
      <w:r w:rsidRPr="0024172D">
        <w:rPr>
          <w:i/>
          <w:iCs/>
          <w:sz w:val="28"/>
          <w:szCs w:val="28"/>
        </w:rPr>
        <w:t xml:space="preserve">Procurement </w:t>
      </w:r>
    </w:p>
    <w:p w14:paraId="5B54FDE2" w14:textId="02434788" w:rsidR="0042201D" w:rsidRPr="00B71326" w:rsidRDefault="0024172D" w:rsidP="00B71326">
      <w:pPr>
        <w:ind w:left="720"/>
        <w:rPr>
          <w:sz w:val="28"/>
          <w:szCs w:val="28"/>
        </w:rPr>
      </w:pPr>
      <w:r w:rsidRPr="0024172D">
        <w:rPr>
          <w:sz w:val="28"/>
          <w:szCs w:val="28"/>
        </w:rPr>
        <w:t xml:space="preserve">Regulations (12ZB) may make provision to ensure that transparency or fairness, compliance, and management of conflicts of interest are achieved by relevant authorities that procure health care services, and other goods or services that may be </w:t>
      </w:r>
      <w:r w:rsidR="00B4269C">
        <w:rPr>
          <w:sz w:val="28"/>
          <w:szCs w:val="28"/>
        </w:rPr>
        <w:t xml:space="preserve">procured </w:t>
      </w:r>
      <w:r w:rsidRPr="0024172D">
        <w:rPr>
          <w:sz w:val="28"/>
          <w:szCs w:val="28"/>
        </w:rPr>
        <w:t>with them, in England. With the approval of the Secretary of State, NHS England may publish guidance about compliance with procurement requirements imposed by regulations.</w:t>
      </w:r>
    </w:p>
    <w:p w14:paraId="669CB89E" w14:textId="77777777" w:rsidR="0042201D" w:rsidRDefault="0042201D" w:rsidP="00C347F6">
      <w:pPr>
        <w:ind w:firstLine="720"/>
        <w:rPr>
          <w:i/>
          <w:iCs/>
          <w:sz w:val="28"/>
          <w:szCs w:val="28"/>
        </w:rPr>
      </w:pPr>
    </w:p>
    <w:p w14:paraId="2563665C" w14:textId="77777777" w:rsidR="0024172D" w:rsidRPr="0024172D" w:rsidRDefault="0024172D" w:rsidP="00C347F6">
      <w:pPr>
        <w:ind w:firstLine="720"/>
        <w:rPr>
          <w:sz w:val="28"/>
          <w:szCs w:val="28"/>
        </w:rPr>
      </w:pPr>
      <w:r w:rsidRPr="0024172D">
        <w:rPr>
          <w:i/>
          <w:iCs/>
          <w:sz w:val="28"/>
          <w:szCs w:val="28"/>
        </w:rPr>
        <w:lastRenderedPageBreak/>
        <w:t>Expenditure and Total resource use</w:t>
      </w:r>
      <w:r w:rsidRPr="0024172D">
        <w:rPr>
          <w:sz w:val="28"/>
          <w:szCs w:val="28"/>
          <w:vertAlign w:val="superscript"/>
        </w:rPr>
        <w:footnoteReference w:id="13"/>
      </w:r>
    </w:p>
    <w:p w14:paraId="715A8C8B" w14:textId="77777777" w:rsidR="0024172D" w:rsidRPr="0024172D" w:rsidRDefault="0024172D" w:rsidP="00C347F6">
      <w:pPr>
        <w:ind w:left="720"/>
        <w:rPr>
          <w:sz w:val="28"/>
          <w:szCs w:val="28"/>
        </w:rPr>
      </w:pPr>
      <w:r w:rsidRPr="0024172D">
        <w:rPr>
          <w:sz w:val="28"/>
          <w:szCs w:val="28"/>
        </w:rPr>
        <w:t>NHS England must act to ensure that total capital and revenue resource uses and expenditure incurred</w:t>
      </w:r>
      <w:r w:rsidRPr="0024172D">
        <w:rPr>
          <w:sz w:val="28"/>
          <w:szCs w:val="28"/>
          <w:vertAlign w:val="superscript"/>
        </w:rPr>
        <w:footnoteReference w:id="14"/>
      </w:r>
      <w:r w:rsidRPr="0024172D">
        <w:rPr>
          <w:sz w:val="28"/>
          <w:szCs w:val="28"/>
        </w:rPr>
        <w:t xml:space="preserve"> by itself and ICBs in a financial year (taken together) do not exceed the aggregate of any sums received and the limits specified in the year (223C and 223D) by the Secretary of State. Descriptions of what is to be included in these calculations may be specified by the Secretary of State. Any subsequent direction to vary a limit in relation to a financial year may occur </w:t>
      </w:r>
      <w:r w:rsidRPr="0024172D">
        <w:rPr>
          <w:b/>
          <w:bCs/>
          <w:sz w:val="28"/>
          <w:szCs w:val="28"/>
        </w:rPr>
        <w:t>only if</w:t>
      </w:r>
      <w:r w:rsidRPr="0024172D">
        <w:rPr>
          <w:sz w:val="28"/>
          <w:szCs w:val="28"/>
        </w:rPr>
        <w:t xml:space="preserve"> a) NHS England agrees to the change, b) a parliamentary general election takes place, or c) the Secretary of State considers that there are exceptional circumstances which make the variation necessary. </w:t>
      </w:r>
    </w:p>
    <w:p w14:paraId="39CEA862" w14:textId="29AA5A7D" w:rsidR="0024172D" w:rsidRPr="0024172D" w:rsidRDefault="0024172D" w:rsidP="00C347F6">
      <w:pPr>
        <w:ind w:left="720"/>
        <w:rPr>
          <w:sz w:val="28"/>
          <w:szCs w:val="28"/>
        </w:rPr>
      </w:pPr>
      <w:r w:rsidRPr="0024172D">
        <w:rPr>
          <w:sz w:val="28"/>
          <w:szCs w:val="28"/>
        </w:rPr>
        <w:t>As an ‘additional control’ on resource use it is stated that the Secretary of State may direct NHS England to ensure that relevant capital and revenue resource amounts specified are not exceeded in a financial year (223E).</w:t>
      </w:r>
      <w:r w:rsidR="00E52F9E">
        <w:rPr>
          <w:sz w:val="28"/>
          <w:szCs w:val="28"/>
        </w:rPr>
        <w:t xml:space="preserve"> </w:t>
      </w:r>
      <w:r w:rsidRPr="0024172D">
        <w:rPr>
          <w:sz w:val="28"/>
          <w:szCs w:val="28"/>
        </w:rPr>
        <w:t xml:space="preserve">Likewise NHS England may </w:t>
      </w:r>
      <w:r w:rsidR="008E6094">
        <w:rPr>
          <w:sz w:val="28"/>
          <w:szCs w:val="28"/>
        </w:rPr>
        <w:t>direct</w:t>
      </w:r>
      <w:r w:rsidRPr="0024172D">
        <w:rPr>
          <w:sz w:val="28"/>
          <w:szCs w:val="28"/>
        </w:rPr>
        <w:t xml:space="preserve"> ICBs about their management or use of financial or other resources and this includes imposing</w:t>
      </w:r>
      <w:r w:rsidR="001A79D4">
        <w:rPr>
          <w:sz w:val="28"/>
          <w:szCs w:val="28"/>
        </w:rPr>
        <w:t xml:space="preserve"> the</w:t>
      </w:r>
      <w:r w:rsidRPr="0024172D">
        <w:rPr>
          <w:sz w:val="28"/>
          <w:szCs w:val="28"/>
        </w:rPr>
        <w:t xml:space="preserve"> limits on expenditure or resource use which have </w:t>
      </w:r>
      <w:r w:rsidR="003E42B7">
        <w:rPr>
          <w:sz w:val="28"/>
          <w:szCs w:val="28"/>
        </w:rPr>
        <w:t xml:space="preserve">been </w:t>
      </w:r>
      <w:r w:rsidRPr="0024172D">
        <w:rPr>
          <w:sz w:val="28"/>
          <w:szCs w:val="28"/>
        </w:rPr>
        <w:t xml:space="preserve">specified (223GB). </w:t>
      </w:r>
    </w:p>
    <w:p w14:paraId="481E830E" w14:textId="77777777" w:rsidR="0024172D" w:rsidRPr="0024172D" w:rsidRDefault="0024172D" w:rsidP="0024172D">
      <w:pPr>
        <w:rPr>
          <w:sz w:val="28"/>
          <w:szCs w:val="28"/>
        </w:rPr>
      </w:pPr>
    </w:p>
    <w:p w14:paraId="5596868D" w14:textId="77777777" w:rsidR="0024172D" w:rsidRPr="0024172D" w:rsidRDefault="0024172D" w:rsidP="00C347F6">
      <w:pPr>
        <w:ind w:firstLine="720"/>
        <w:rPr>
          <w:i/>
          <w:iCs/>
          <w:sz w:val="28"/>
          <w:szCs w:val="28"/>
        </w:rPr>
      </w:pPr>
      <w:r w:rsidRPr="0024172D">
        <w:rPr>
          <w:i/>
          <w:iCs/>
          <w:sz w:val="28"/>
          <w:szCs w:val="28"/>
        </w:rPr>
        <w:t>Joint financial objectives</w:t>
      </w:r>
    </w:p>
    <w:p w14:paraId="0AB4C098" w14:textId="77777777" w:rsidR="0024172D" w:rsidRPr="0024172D" w:rsidRDefault="0024172D" w:rsidP="00DD0745">
      <w:pPr>
        <w:ind w:left="720"/>
        <w:rPr>
          <w:sz w:val="28"/>
          <w:szCs w:val="28"/>
        </w:rPr>
      </w:pPr>
      <w:r w:rsidRPr="0024172D">
        <w:rPr>
          <w:sz w:val="28"/>
          <w:szCs w:val="28"/>
        </w:rPr>
        <w:t xml:space="preserve">NHS England may set joint financial objectives for ICBs and their partners </w:t>
      </w:r>
      <w:r w:rsidR="00DD0745">
        <w:rPr>
          <w:sz w:val="28"/>
          <w:szCs w:val="28"/>
        </w:rPr>
        <w:t>(</w:t>
      </w:r>
      <w:r w:rsidRPr="0024172D">
        <w:rPr>
          <w:sz w:val="28"/>
          <w:szCs w:val="28"/>
        </w:rPr>
        <w:t>223L)</w:t>
      </w:r>
      <w:r w:rsidRPr="0024172D">
        <w:rPr>
          <w:sz w:val="28"/>
          <w:szCs w:val="28"/>
          <w:vertAlign w:val="superscript"/>
        </w:rPr>
        <w:footnoteReference w:id="15"/>
      </w:r>
      <w:r w:rsidRPr="0024172D">
        <w:rPr>
          <w:sz w:val="28"/>
          <w:szCs w:val="28"/>
        </w:rPr>
        <w:t xml:space="preserve"> who must seek to achieve them (223M). Where an NHS trust or NHS foundation trust is the partner of more than one ICB, its use of resources is to be apportioned to one or more of the ICBs as directed by NHS England.</w:t>
      </w:r>
    </w:p>
    <w:p w14:paraId="534D33E0" w14:textId="77777777" w:rsidR="0024172D" w:rsidRPr="0024172D" w:rsidRDefault="0024172D" w:rsidP="00DD0745">
      <w:pPr>
        <w:ind w:left="720"/>
        <w:rPr>
          <w:sz w:val="28"/>
          <w:szCs w:val="28"/>
        </w:rPr>
      </w:pPr>
      <w:r w:rsidRPr="0024172D">
        <w:rPr>
          <w:sz w:val="28"/>
          <w:szCs w:val="28"/>
        </w:rPr>
        <w:t>Again as an ‘additional control’, this time it is NHS England that may direct an ICB and its partners to ensure that relevant capital and revenue resource amounts specified are not exceeded in a financial year (223N).</w:t>
      </w:r>
    </w:p>
    <w:p w14:paraId="53CBFC1B" w14:textId="77777777" w:rsidR="0024172D" w:rsidRPr="0024172D" w:rsidRDefault="0024172D" w:rsidP="0024172D">
      <w:pPr>
        <w:rPr>
          <w:sz w:val="28"/>
          <w:szCs w:val="28"/>
        </w:rPr>
      </w:pPr>
      <w:r w:rsidRPr="0024172D">
        <w:rPr>
          <w:sz w:val="28"/>
          <w:szCs w:val="28"/>
        </w:rPr>
        <w:t xml:space="preserve"> </w:t>
      </w:r>
    </w:p>
    <w:p w14:paraId="53936895" w14:textId="77777777" w:rsidR="0024172D" w:rsidRPr="0024172D" w:rsidRDefault="0024172D" w:rsidP="008A4D52">
      <w:pPr>
        <w:ind w:firstLine="720"/>
        <w:rPr>
          <w:i/>
          <w:iCs/>
          <w:sz w:val="28"/>
          <w:szCs w:val="28"/>
        </w:rPr>
      </w:pPr>
      <w:r w:rsidRPr="0024172D">
        <w:rPr>
          <w:i/>
          <w:iCs/>
          <w:sz w:val="28"/>
          <w:szCs w:val="28"/>
        </w:rPr>
        <w:t>Relevant resources</w:t>
      </w:r>
    </w:p>
    <w:p w14:paraId="591FEEA0" w14:textId="77777777" w:rsidR="0024172D" w:rsidRPr="0024172D" w:rsidRDefault="0024172D" w:rsidP="00DD0745">
      <w:pPr>
        <w:ind w:left="720"/>
        <w:rPr>
          <w:sz w:val="28"/>
          <w:szCs w:val="28"/>
        </w:rPr>
      </w:pPr>
      <w:r w:rsidRPr="0024172D">
        <w:rPr>
          <w:sz w:val="28"/>
          <w:szCs w:val="28"/>
        </w:rPr>
        <w:t xml:space="preserve">The Secretary of State may, in relation to any financial year, specify descriptions of, and the uses of, any resources which must be treated as capital resources or revenue resources to be </w:t>
      </w:r>
      <w:proofErr w:type="gramStart"/>
      <w:r w:rsidRPr="0024172D">
        <w:rPr>
          <w:sz w:val="28"/>
          <w:szCs w:val="28"/>
        </w:rPr>
        <w:t>taken into account</w:t>
      </w:r>
      <w:proofErr w:type="gramEnd"/>
      <w:r w:rsidRPr="0024172D">
        <w:rPr>
          <w:sz w:val="28"/>
          <w:szCs w:val="28"/>
        </w:rPr>
        <w:t xml:space="preserve"> for the purposes of financial control (223O).</w:t>
      </w:r>
    </w:p>
    <w:p w14:paraId="39124971" w14:textId="77777777" w:rsidR="0024172D" w:rsidRPr="0024172D" w:rsidRDefault="0024172D" w:rsidP="0024172D">
      <w:pPr>
        <w:ind w:left="720"/>
        <w:contextualSpacing/>
        <w:rPr>
          <w:sz w:val="28"/>
          <w:szCs w:val="28"/>
        </w:rPr>
      </w:pPr>
    </w:p>
    <w:p w14:paraId="0D983B50" w14:textId="77777777" w:rsidR="00525238" w:rsidRDefault="0094658E" w:rsidP="005D454C">
      <w:pPr>
        <w:ind w:left="720"/>
        <w:rPr>
          <w:sz w:val="28"/>
          <w:szCs w:val="28"/>
        </w:rPr>
      </w:pPr>
      <w:r>
        <w:rPr>
          <w:sz w:val="28"/>
          <w:szCs w:val="28"/>
        </w:rPr>
        <w:lastRenderedPageBreak/>
        <w:t>From the Bill</w:t>
      </w:r>
      <w:r w:rsidR="00525238">
        <w:rPr>
          <w:sz w:val="28"/>
          <w:szCs w:val="28"/>
        </w:rPr>
        <w:t>,</w:t>
      </w:r>
      <w:r>
        <w:rPr>
          <w:sz w:val="28"/>
          <w:szCs w:val="28"/>
        </w:rPr>
        <w:t xml:space="preserve"> the </w:t>
      </w:r>
      <w:r w:rsidR="0024172D" w:rsidRPr="0024172D">
        <w:rPr>
          <w:sz w:val="28"/>
          <w:szCs w:val="28"/>
        </w:rPr>
        <w:t xml:space="preserve">performance of the new Payment System will be further structured and monitored as shown in the </w:t>
      </w:r>
      <w:r w:rsidR="00176C29" w:rsidRPr="00197499">
        <w:rPr>
          <w:b/>
          <w:bCs/>
          <w:sz w:val="28"/>
          <w:szCs w:val="28"/>
        </w:rPr>
        <w:t>Appendix</w:t>
      </w:r>
      <w:r w:rsidR="0024172D" w:rsidRPr="0024172D">
        <w:rPr>
          <w:sz w:val="28"/>
          <w:szCs w:val="28"/>
        </w:rPr>
        <w:t>.</w:t>
      </w:r>
    </w:p>
    <w:p w14:paraId="24281593" w14:textId="77777777" w:rsidR="007030DD" w:rsidRDefault="007030DD" w:rsidP="001B53CA">
      <w:pPr>
        <w:pBdr>
          <w:top w:val="nil"/>
          <w:left w:val="nil"/>
          <w:bottom w:val="nil"/>
          <w:right w:val="nil"/>
          <w:between w:val="nil"/>
          <w:bar w:val="nil"/>
        </w:pBdr>
        <w:rPr>
          <w:rFonts w:eastAsia="Arial Unicode MS" w:cs="Arial Unicode MS"/>
          <w:b/>
          <w:bCs/>
          <w:color w:val="000000"/>
          <w:sz w:val="28"/>
          <w:szCs w:val="28"/>
          <w:bdr w:val="nil"/>
          <w:lang w:val="en-US"/>
        </w:rPr>
      </w:pPr>
    </w:p>
    <w:p w14:paraId="30D07402" w14:textId="77777777" w:rsidR="007030DD" w:rsidRDefault="007030DD" w:rsidP="001B53CA">
      <w:pPr>
        <w:pBdr>
          <w:top w:val="nil"/>
          <w:left w:val="nil"/>
          <w:bottom w:val="nil"/>
          <w:right w:val="nil"/>
          <w:between w:val="nil"/>
          <w:bar w:val="nil"/>
        </w:pBdr>
        <w:rPr>
          <w:rFonts w:eastAsia="Arial Unicode MS" w:cs="Arial Unicode MS"/>
          <w:b/>
          <w:bCs/>
          <w:color w:val="000000"/>
          <w:sz w:val="28"/>
          <w:szCs w:val="28"/>
          <w:bdr w:val="nil"/>
          <w:lang w:val="en-US"/>
        </w:rPr>
      </w:pPr>
    </w:p>
    <w:p w14:paraId="47FF2EC4" w14:textId="77777777" w:rsidR="001B53CA" w:rsidRPr="001B53CA" w:rsidRDefault="001B53CA" w:rsidP="001B53CA">
      <w:pPr>
        <w:pBdr>
          <w:top w:val="nil"/>
          <w:left w:val="nil"/>
          <w:bottom w:val="nil"/>
          <w:right w:val="nil"/>
          <w:between w:val="nil"/>
          <w:bar w:val="nil"/>
        </w:pBdr>
        <w:rPr>
          <w:rFonts w:eastAsia="Arial Unicode MS" w:cs="Arial Unicode MS"/>
          <w:b/>
          <w:bCs/>
          <w:color w:val="000000"/>
          <w:sz w:val="28"/>
          <w:szCs w:val="28"/>
          <w:bdr w:val="nil"/>
          <w:lang w:val="en-US"/>
        </w:rPr>
      </w:pPr>
      <w:r w:rsidRPr="001B53CA">
        <w:rPr>
          <w:rFonts w:eastAsia="Arial Unicode MS" w:cs="Arial Unicode MS"/>
          <w:b/>
          <w:bCs/>
          <w:color w:val="000000"/>
          <w:sz w:val="28"/>
          <w:szCs w:val="28"/>
          <w:bdr w:val="nil"/>
          <w:lang w:val="en-US"/>
        </w:rPr>
        <w:t>Provider Selection Regime consultation</w:t>
      </w:r>
      <w:r>
        <w:rPr>
          <w:rStyle w:val="FootnoteReference"/>
          <w:rFonts w:eastAsia="Arial Unicode MS" w:cs="Arial Unicode MS"/>
          <w:b/>
          <w:bCs/>
          <w:color w:val="000000"/>
          <w:sz w:val="28"/>
          <w:szCs w:val="28"/>
          <w:bdr w:val="nil"/>
          <w:lang w:val="en-US"/>
        </w:rPr>
        <w:footnoteReference w:id="16"/>
      </w:r>
      <w:r w:rsidRPr="001B53CA">
        <w:rPr>
          <w:rFonts w:eastAsia="Arial Unicode MS" w:cs="Arial Unicode MS"/>
          <w:b/>
          <w:bCs/>
          <w:color w:val="000000"/>
          <w:sz w:val="28"/>
          <w:szCs w:val="28"/>
          <w:bdr w:val="nil"/>
          <w:lang w:val="en-US"/>
        </w:rPr>
        <w:t>and response</w:t>
      </w:r>
      <w:r>
        <w:rPr>
          <w:rStyle w:val="FootnoteReference"/>
          <w:rFonts w:eastAsia="Arial Unicode MS" w:cs="Arial Unicode MS"/>
          <w:b/>
          <w:bCs/>
          <w:color w:val="000000"/>
          <w:sz w:val="28"/>
          <w:szCs w:val="28"/>
          <w:bdr w:val="nil"/>
          <w:lang w:val="en-US"/>
        </w:rPr>
        <w:footnoteReference w:id="17"/>
      </w:r>
    </w:p>
    <w:p w14:paraId="23B1FE54" w14:textId="77777777" w:rsidR="00117833" w:rsidRDefault="00117833" w:rsidP="005D454C">
      <w:pPr>
        <w:ind w:left="720"/>
        <w:rPr>
          <w:sz w:val="28"/>
          <w:szCs w:val="28"/>
        </w:rPr>
      </w:pPr>
    </w:p>
    <w:p w14:paraId="7E76B048" w14:textId="5A7E6AA8" w:rsidR="001B53CA" w:rsidRDefault="00BC0103" w:rsidP="005D454C">
      <w:pPr>
        <w:ind w:left="720"/>
        <w:rPr>
          <w:sz w:val="28"/>
          <w:szCs w:val="28"/>
        </w:rPr>
      </w:pPr>
      <w:r>
        <w:rPr>
          <w:sz w:val="28"/>
          <w:szCs w:val="28"/>
        </w:rPr>
        <w:t>In relation to the procurement element of the new NHS payment scheme, there</w:t>
      </w:r>
      <w:r w:rsidR="00CE424F">
        <w:rPr>
          <w:sz w:val="28"/>
          <w:szCs w:val="28"/>
        </w:rPr>
        <w:t xml:space="preserve"> has been a </w:t>
      </w:r>
      <w:r w:rsidR="004D4BC7">
        <w:rPr>
          <w:sz w:val="28"/>
          <w:szCs w:val="28"/>
        </w:rPr>
        <w:t xml:space="preserve">Consultation and response to </w:t>
      </w:r>
      <w:r w:rsidR="00E66189">
        <w:rPr>
          <w:sz w:val="28"/>
          <w:szCs w:val="28"/>
        </w:rPr>
        <w:t>the</w:t>
      </w:r>
      <w:r w:rsidR="004D4BC7">
        <w:rPr>
          <w:sz w:val="28"/>
          <w:szCs w:val="28"/>
        </w:rPr>
        <w:t xml:space="preserve"> new procurement regime </w:t>
      </w:r>
      <w:r w:rsidR="00B63868">
        <w:rPr>
          <w:sz w:val="28"/>
          <w:szCs w:val="28"/>
        </w:rPr>
        <w:t>proposed by NHS England</w:t>
      </w:r>
      <w:r w:rsidR="00AA64DC">
        <w:rPr>
          <w:sz w:val="28"/>
          <w:szCs w:val="28"/>
        </w:rPr>
        <w:t xml:space="preserve"> </w:t>
      </w:r>
      <w:r w:rsidR="009C108D">
        <w:rPr>
          <w:sz w:val="28"/>
          <w:szCs w:val="28"/>
        </w:rPr>
        <w:t>which they are continuing to develop. There</w:t>
      </w:r>
      <w:r w:rsidR="00ED175F">
        <w:rPr>
          <w:sz w:val="28"/>
          <w:szCs w:val="28"/>
        </w:rPr>
        <w:t xml:space="preserve"> is a summary of the current situation on the KONP website</w:t>
      </w:r>
      <w:r w:rsidR="00E23CC0">
        <w:rPr>
          <w:rStyle w:val="FootnoteReference"/>
          <w:sz w:val="28"/>
          <w:szCs w:val="28"/>
        </w:rPr>
        <w:footnoteReference w:id="18"/>
      </w:r>
    </w:p>
    <w:p w14:paraId="2A55BD35" w14:textId="77777777" w:rsidR="001E2325" w:rsidRDefault="001E2325" w:rsidP="001E2325">
      <w:pPr>
        <w:rPr>
          <w:sz w:val="28"/>
          <w:szCs w:val="28"/>
        </w:rPr>
      </w:pPr>
    </w:p>
    <w:p w14:paraId="36486841" w14:textId="6C4AFEC4" w:rsidR="00877B03" w:rsidRPr="002242D5" w:rsidRDefault="00877B03" w:rsidP="001153A0">
      <w:pPr>
        <w:ind w:left="720"/>
        <w:rPr>
          <w:b/>
          <w:sz w:val="28"/>
          <w:szCs w:val="28"/>
        </w:rPr>
      </w:pPr>
      <w:r>
        <w:rPr>
          <w:sz w:val="28"/>
          <w:szCs w:val="28"/>
        </w:rPr>
        <w:t>In summary</w:t>
      </w:r>
      <w:r w:rsidR="00B25DD8">
        <w:rPr>
          <w:sz w:val="28"/>
          <w:szCs w:val="28"/>
        </w:rPr>
        <w:t>,</w:t>
      </w:r>
      <w:r>
        <w:rPr>
          <w:sz w:val="28"/>
          <w:szCs w:val="28"/>
        </w:rPr>
        <w:t xml:space="preserve"> NHS England </w:t>
      </w:r>
      <w:r w:rsidR="00B25DD8">
        <w:rPr>
          <w:sz w:val="28"/>
          <w:szCs w:val="28"/>
        </w:rPr>
        <w:t>is</w:t>
      </w:r>
      <w:r>
        <w:rPr>
          <w:sz w:val="28"/>
          <w:szCs w:val="28"/>
        </w:rPr>
        <w:t xml:space="preserve"> </w:t>
      </w:r>
      <w:r w:rsidR="00722517">
        <w:rPr>
          <w:sz w:val="28"/>
          <w:szCs w:val="28"/>
        </w:rPr>
        <w:t xml:space="preserve">currently </w:t>
      </w:r>
      <w:r>
        <w:rPr>
          <w:sz w:val="28"/>
          <w:szCs w:val="28"/>
        </w:rPr>
        <w:t>seeking:</w:t>
      </w:r>
      <w:r w:rsidRPr="00877B03">
        <w:rPr>
          <w:sz w:val="28"/>
          <w:szCs w:val="28"/>
        </w:rPr>
        <w:t xml:space="preserve">  </w:t>
      </w:r>
      <w:r w:rsidR="006F45AB">
        <w:rPr>
          <w:sz w:val="28"/>
          <w:szCs w:val="28"/>
        </w:rPr>
        <w:t xml:space="preserve">i) </w:t>
      </w:r>
      <w:r w:rsidRPr="00877B03">
        <w:rPr>
          <w:sz w:val="28"/>
          <w:szCs w:val="28"/>
        </w:rPr>
        <w:t>4-6 weeks from announcement of intention to contract to completion</w:t>
      </w:r>
      <w:r w:rsidR="00BD1AD9">
        <w:rPr>
          <w:sz w:val="28"/>
          <w:szCs w:val="28"/>
        </w:rPr>
        <w:t>;</w:t>
      </w:r>
      <w:r w:rsidR="00B4642D">
        <w:rPr>
          <w:sz w:val="28"/>
          <w:szCs w:val="28"/>
        </w:rPr>
        <w:t xml:space="preserve"> ii)</w:t>
      </w:r>
      <w:r w:rsidR="00BD1AD9">
        <w:rPr>
          <w:sz w:val="28"/>
          <w:szCs w:val="28"/>
        </w:rPr>
        <w:t xml:space="preserve"> </w:t>
      </w:r>
      <w:r w:rsidR="00D72253">
        <w:rPr>
          <w:sz w:val="28"/>
          <w:szCs w:val="28"/>
        </w:rPr>
        <w:t xml:space="preserve">no right for independent scrutiny </w:t>
      </w:r>
      <w:r w:rsidR="004E3F9A">
        <w:rPr>
          <w:sz w:val="28"/>
          <w:szCs w:val="28"/>
        </w:rPr>
        <w:t>but</w:t>
      </w:r>
      <w:r w:rsidRPr="00877B03">
        <w:rPr>
          <w:sz w:val="28"/>
          <w:szCs w:val="28"/>
        </w:rPr>
        <w:t xml:space="preserve"> competitors </w:t>
      </w:r>
      <w:r w:rsidR="004E3F9A">
        <w:rPr>
          <w:sz w:val="28"/>
          <w:szCs w:val="28"/>
        </w:rPr>
        <w:t>can approach the commissioners</w:t>
      </w:r>
      <w:r w:rsidRPr="00877B03">
        <w:rPr>
          <w:sz w:val="28"/>
          <w:szCs w:val="28"/>
        </w:rPr>
        <w:t xml:space="preserve"> </w:t>
      </w:r>
      <w:r w:rsidR="004E3F9A">
        <w:rPr>
          <w:sz w:val="28"/>
          <w:szCs w:val="28"/>
        </w:rPr>
        <w:t>with</w:t>
      </w:r>
      <w:r w:rsidRPr="00877B03">
        <w:rPr>
          <w:sz w:val="28"/>
          <w:szCs w:val="28"/>
        </w:rPr>
        <w:t xml:space="preserve">in </w:t>
      </w:r>
      <w:r w:rsidR="00596F48">
        <w:rPr>
          <w:sz w:val="28"/>
          <w:szCs w:val="28"/>
        </w:rPr>
        <w:t>a</w:t>
      </w:r>
      <w:r w:rsidRPr="00877B03">
        <w:rPr>
          <w:sz w:val="28"/>
          <w:szCs w:val="28"/>
        </w:rPr>
        <w:t xml:space="preserve"> time frame </w:t>
      </w:r>
      <w:r w:rsidR="0017169F">
        <w:rPr>
          <w:sz w:val="28"/>
          <w:szCs w:val="28"/>
        </w:rPr>
        <w:t>if they believe</w:t>
      </w:r>
      <w:r w:rsidRPr="00877B03">
        <w:rPr>
          <w:sz w:val="28"/>
          <w:szCs w:val="28"/>
        </w:rPr>
        <w:t xml:space="preserve"> that the procurement criteria have not been met</w:t>
      </w:r>
      <w:r w:rsidR="0017169F">
        <w:rPr>
          <w:sz w:val="28"/>
          <w:szCs w:val="28"/>
        </w:rPr>
        <w:t>;</w:t>
      </w:r>
      <w:r w:rsidR="0022039F">
        <w:rPr>
          <w:sz w:val="28"/>
          <w:szCs w:val="28"/>
        </w:rPr>
        <w:t xml:space="preserve"> </w:t>
      </w:r>
      <w:r w:rsidR="00B4642D">
        <w:rPr>
          <w:sz w:val="28"/>
          <w:szCs w:val="28"/>
        </w:rPr>
        <w:t>iii)</w:t>
      </w:r>
      <w:r w:rsidR="001B6839">
        <w:rPr>
          <w:sz w:val="28"/>
          <w:szCs w:val="28"/>
        </w:rPr>
        <w:t xml:space="preserve"> for </w:t>
      </w:r>
      <w:r w:rsidR="0017169F">
        <w:rPr>
          <w:sz w:val="28"/>
          <w:szCs w:val="28"/>
        </w:rPr>
        <w:t>judicial review</w:t>
      </w:r>
      <w:r w:rsidRPr="00877B03">
        <w:rPr>
          <w:sz w:val="28"/>
          <w:szCs w:val="28"/>
        </w:rPr>
        <w:t xml:space="preserve"> </w:t>
      </w:r>
      <w:r w:rsidR="002A5F1D">
        <w:rPr>
          <w:sz w:val="28"/>
          <w:szCs w:val="28"/>
        </w:rPr>
        <w:t>to</w:t>
      </w:r>
      <w:r w:rsidRPr="00877B03">
        <w:rPr>
          <w:sz w:val="28"/>
          <w:szCs w:val="28"/>
        </w:rPr>
        <w:t xml:space="preserve"> be the only way </w:t>
      </w:r>
      <w:r w:rsidR="0028755E">
        <w:rPr>
          <w:sz w:val="28"/>
          <w:szCs w:val="28"/>
        </w:rPr>
        <w:t xml:space="preserve">to </w:t>
      </w:r>
      <w:r w:rsidRPr="00877B03">
        <w:rPr>
          <w:sz w:val="28"/>
          <w:szCs w:val="28"/>
        </w:rPr>
        <w:t xml:space="preserve">challenge </w:t>
      </w:r>
      <w:r w:rsidR="0028755E">
        <w:rPr>
          <w:sz w:val="28"/>
          <w:szCs w:val="28"/>
        </w:rPr>
        <w:t xml:space="preserve">the </w:t>
      </w:r>
      <w:r w:rsidRPr="00877B03">
        <w:rPr>
          <w:sz w:val="28"/>
          <w:szCs w:val="28"/>
        </w:rPr>
        <w:t>lawfulness of any decision</w:t>
      </w:r>
      <w:r w:rsidR="00A26431">
        <w:rPr>
          <w:sz w:val="28"/>
          <w:szCs w:val="28"/>
        </w:rPr>
        <w:t>;</w:t>
      </w:r>
      <w:r w:rsidR="00220385">
        <w:rPr>
          <w:sz w:val="28"/>
          <w:szCs w:val="28"/>
        </w:rPr>
        <w:t xml:space="preserve"> </w:t>
      </w:r>
      <w:r w:rsidR="00B4642D">
        <w:rPr>
          <w:sz w:val="28"/>
          <w:szCs w:val="28"/>
        </w:rPr>
        <w:t xml:space="preserve">iv) </w:t>
      </w:r>
      <w:r w:rsidR="00220385">
        <w:rPr>
          <w:sz w:val="28"/>
          <w:szCs w:val="28"/>
        </w:rPr>
        <w:t>to keep</w:t>
      </w:r>
      <w:r w:rsidRPr="00877B03">
        <w:rPr>
          <w:sz w:val="28"/>
          <w:szCs w:val="28"/>
        </w:rPr>
        <w:t xml:space="preserve"> NHS procurement separate from other public services</w:t>
      </w:r>
      <w:r w:rsidR="00C76657">
        <w:rPr>
          <w:sz w:val="28"/>
          <w:szCs w:val="28"/>
        </w:rPr>
        <w:t xml:space="preserve">; </w:t>
      </w:r>
      <w:r w:rsidR="00722517">
        <w:rPr>
          <w:sz w:val="28"/>
          <w:szCs w:val="28"/>
        </w:rPr>
        <w:t xml:space="preserve">v) </w:t>
      </w:r>
      <w:r w:rsidRPr="00877B03">
        <w:rPr>
          <w:sz w:val="28"/>
          <w:szCs w:val="28"/>
        </w:rPr>
        <w:t>to enhance</w:t>
      </w:r>
      <w:r w:rsidR="00C76657">
        <w:rPr>
          <w:sz w:val="28"/>
          <w:szCs w:val="28"/>
        </w:rPr>
        <w:t xml:space="preserve"> </w:t>
      </w:r>
      <w:r w:rsidR="00FB011F">
        <w:rPr>
          <w:sz w:val="28"/>
          <w:szCs w:val="28"/>
        </w:rPr>
        <w:t>Any Qualified Provider</w:t>
      </w:r>
      <w:r w:rsidRPr="00877B03">
        <w:rPr>
          <w:sz w:val="28"/>
          <w:szCs w:val="28"/>
        </w:rPr>
        <w:t xml:space="preserve"> </w:t>
      </w:r>
      <w:r w:rsidR="00FB011F">
        <w:rPr>
          <w:sz w:val="28"/>
          <w:szCs w:val="28"/>
        </w:rPr>
        <w:t>(</w:t>
      </w:r>
      <w:r w:rsidRPr="00877B03">
        <w:rPr>
          <w:sz w:val="28"/>
          <w:szCs w:val="28"/>
        </w:rPr>
        <w:t>AQP</w:t>
      </w:r>
      <w:r w:rsidR="00FB011F">
        <w:rPr>
          <w:sz w:val="28"/>
          <w:szCs w:val="28"/>
        </w:rPr>
        <w:t>)</w:t>
      </w:r>
      <w:r w:rsidR="004E244A">
        <w:rPr>
          <w:sz w:val="28"/>
          <w:szCs w:val="28"/>
        </w:rPr>
        <w:t xml:space="preserve"> </w:t>
      </w:r>
      <w:r w:rsidRPr="00877B03">
        <w:rPr>
          <w:sz w:val="28"/>
          <w:szCs w:val="28"/>
        </w:rPr>
        <w:t xml:space="preserve">procurement </w:t>
      </w:r>
      <w:r w:rsidR="009529F4" w:rsidRPr="00877B03">
        <w:rPr>
          <w:sz w:val="28"/>
          <w:szCs w:val="28"/>
        </w:rPr>
        <w:t>through simpli</w:t>
      </w:r>
      <w:r w:rsidR="004E244A">
        <w:rPr>
          <w:sz w:val="28"/>
          <w:szCs w:val="28"/>
        </w:rPr>
        <w:t>fying</w:t>
      </w:r>
      <w:r w:rsidR="009529F4" w:rsidRPr="00877B03">
        <w:rPr>
          <w:sz w:val="28"/>
          <w:szCs w:val="28"/>
        </w:rPr>
        <w:t xml:space="preserve"> arrangements</w:t>
      </w:r>
      <w:r w:rsidR="00B752C2">
        <w:rPr>
          <w:sz w:val="28"/>
          <w:szCs w:val="28"/>
        </w:rPr>
        <w:t xml:space="preserve"> </w:t>
      </w:r>
      <w:r w:rsidRPr="00877B03">
        <w:rPr>
          <w:sz w:val="28"/>
          <w:szCs w:val="28"/>
        </w:rPr>
        <w:t>to improve choice</w:t>
      </w:r>
      <w:r w:rsidR="00B752C2">
        <w:rPr>
          <w:sz w:val="28"/>
          <w:szCs w:val="28"/>
        </w:rPr>
        <w:t xml:space="preserve"> (they say) </w:t>
      </w:r>
      <w:r w:rsidR="001153A0">
        <w:rPr>
          <w:sz w:val="28"/>
          <w:szCs w:val="28"/>
        </w:rPr>
        <w:t xml:space="preserve">by </w:t>
      </w:r>
      <w:r w:rsidR="00D23F51">
        <w:rPr>
          <w:sz w:val="28"/>
          <w:szCs w:val="28"/>
        </w:rPr>
        <w:t xml:space="preserve">making it easier for </w:t>
      </w:r>
      <w:r w:rsidR="00921E76">
        <w:rPr>
          <w:sz w:val="28"/>
          <w:szCs w:val="28"/>
        </w:rPr>
        <w:t>providers</w:t>
      </w:r>
      <w:r w:rsidR="00530EB5">
        <w:rPr>
          <w:sz w:val="28"/>
          <w:szCs w:val="28"/>
        </w:rPr>
        <w:t xml:space="preserve"> </w:t>
      </w:r>
      <w:r w:rsidR="00D23F51">
        <w:rPr>
          <w:sz w:val="28"/>
          <w:szCs w:val="28"/>
        </w:rPr>
        <w:t>to</w:t>
      </w:r>
      <w:r w:rsidR="00342D9C">
        <w:rPr>
          <w:sz w:val="28"/>
          <w:szCs w:val="28"/>
        </w:rPr>
        <w:t xml:space="preserve"> </w:t>
      </w:r>
      <w:r w:rsidR="007D72A9">
        <w:rPr>
          <w:sz w:val="28"/>
          <w:szCs w:val="28"/>
        </w:rPr>
        <w:t>be placed on ‘provider lists’</w:t>
      </w:r>
      <w:r w:rsidR="00AB25F2">
        <w:rPr>
          <w:sz w:val="28"/>
          <w:szCs w:val="28"/>
        </w:rPr>
        <w:t>.</w:t>
      </w:r>
      <w:r w:rsidR="00D23F51">
        <w:rPr>
          <w:sz w:val="28"/>
          <w:szCs w:val="28"/>
        </w:rPr>
        <w:t xml:space="preserve"> </w:t>
      </w:r>
      <w:r w:rsidR="0083630A">
        <w:rPr>
          <w:sz w:val="28"/>
          <w:szCs w:val="28"/>
        </w:rPr>
        <w:t xml:space="preserve"> </w:t>
      </w:r>
      <w:r w:rsidR="00AB25F2">
        <w:rPr>
          <w:sz w:val="28"/>
          <w:szCs w:val="28"/>
        </w:rPr>
        <w:t xml:space="preserve">If </w:t>
      </w:r>
      <w:r w:rsidR="006D181C">
        <w:rPr>
          <w:sz w:val="28"/>
          <w:szCs w:val="28"/>
        </w:rPr>
        <w:t>providers</w:t>
      </w:r>
      <w:r w:rsidR="0083630A">
        <w:rPr>
          <w:sz w:val="28"/>
          <w:szCs w:val="28"/>
        </w:rPr>
        <w:t xml:space="preserve"> </w:t>
      </w:r>
      <w:r w:rsidR="00530EB5">
        <w:rPr>
          <w:sz w:val="28"/>
          <w:szCs w:val="28"/>
        </w:rPr>
        <w:t xml:space="preserve">simply </w:t>
      </w:r>
      <w:r w:rsidRPr="00877B03">
        <w:rPr>
          <w:sz w:val="28"/>
          <w:szCs w:val="28"/>
        </w:rPr>
        <w:t xml:space="preserve">demonstrate </w:t>
      </w:r>
      <w:r w:rsidR="00530EB5">
        <w:rPr>
          <w:sz w:val="28"/>
          <w:szCs w:val="28"/>
        </w:rPr>
        <w:t xml:space="preserve">that </w:t>
      </w:r>
      <w:r w:rsidRPr="00877B03">
        <w:rPr>
          <w:sz w:val="28"/>
          <w:szCs w:val="28"/>
        </w:rPr>
        <w:t>the</w:t>
      </w:r>
      <w:r w:rsidR="00921E76">
        <w:rPr>
          <w:sz w:val="28"/>
          <w:szCs w:val="28"/>
        </w:rPr>
        <w:t>y</w:t>
      </w:r>
      <w:r w:rsidRPr="00877B03">
        <w:rPr>
          <w:sz w:val="28"/>
          <w:szCs w:val="28"/>
        </w:rPr>
        <w:t xml:space="preserve"> meet the stated </w:t>
      </w:r>
      <w:r w:rsidR="00CA30E1">
        <w:rPr>
          <w:sz w:val="28"/>
          <w:szCs w:val="28"/>
        </w:rPr>
        <w:t xml:space="preserve">required </w:t>
      </w:r>
      <w:r w:rsidRPr="00877B03">
        <w:rPr>
          <w:sz w:val="28"/>
          <w:szCs w:val="28"/>
        </w:rPr>
        <w:t>service conditions</w:t>
      </w:r>
      <w:r w:rsidR="00472DF2" w:rsidRPr="00472DF2">
        <w:rPr>
          <w:sz w:val="28"/>
          <w:szCs w:val="28"/>
        </w:rPr>
        <w:t xml:space="preserve"> </w:t>
      </w:r>
      <w:r w:rsidR="00472DF2" w:rsidRPr="00877B03">
        <w:rPr>
          <w:sz w:val="28"/>
          <w:szCs w:val="28"/>
        </w:rPr>
        <w:t xml:space="preserve">they must </w:t>
      </w:r>
      <w:r w:rsidR="000127D1">
        <w:rPr>
          <w:sz w:val="28"/>
          <w:szCs w:val="28"/>
        </w:rPr>
        <w:t xml:space="preserve">then </w:t>
      </w:r>
      <w:r w:rsidR="00472DF2" w:rsidRPr="00877B03">
        <w:rPr>
          <w:sz w:val="28"/>
          <w:szCs w:val="28"/>
        </w:rPr>
        <w:t>be offered the NHS Standard Contract by the decision-making body</w:t>
      </w:r>
      <w:r w:rsidR="006306BA">
        <w:rPr>
          <w:sz w:val="28"/>
          <w:szCs w:val="28"/>
        </w:rPr>
        <w:t xml:space="preserve"> </w:t>
      </w:r>
      <w:r w:rsidR="000127D1">
        <w:rPr>
          <w:sz w:val="28"/>
          <w:szCs w:val="28"/>
        </w:rPr>
        <w:t xml:space="preserve">and </w:t>
      </w:r>
      <w:r w:rsidR="00472DF2" w:rsidRPr="00877B03">
        <w:rPr>
          <w:sz w:val="28"/>
          <w:szCs w:val="28"/>
        </w:rPr>
        <w:t xml:space="preserve">can then register </w:t>
      </w:r>
      <w:r w:rsidR="000127D1">
        <w:rPr>
          <w:sz w:val="28"/>
          <w:szCs w:val="28"/>
        </w:rPr>
        <w:t xml:space="preserve">their </w:t>
      </w:r>
      <w:r w:rsidR="00472DF2" w:rsidRPr="00877B03">
        <w:rPr>
          <w:sz w:val="28"/>
          <w:szCs w:val="28"/>
        </w:rPr>
        <w:t>services on the Electronic Referral System (ERS) lists from which patients make their choice</w:t>
      </w:r>
      <w:r w:rsidR="00472DF2">
        <w:rPr>
          <w:sz w:val="28"/>
          <w:szCs w:val="28"/>
        </w:rPr>
        <w:t>;</w:t>
      </w:r>
      <w:r w:rsidR="006306BA">
        <w:rPr>
          <w:sz w:val="28"/>
          <w:szCs w:val="28"/>
        </w:rPr>
        <w:t xml:space="preserve"> </w:t>
      </w:r>
      <w:r w:rsidR="007F4E8A" w:rsidRPr="00482428">
        <w:rPr>
          <w:b/>
          <w:bCs/>
          <w:sz w:val="28"/>
          <w:szCs w:val="28"/>
        </w:rPr>
        <w:t>vi</w:t>
      </w:r>
      <w:r w:rsidR="006306BA" w:rsidRPr="00482428">
        <w:rPr>
          <w:b/>
          <w:bCs/>
          <w:sz w:val="28"/>
          <w:szCs w:val="28"/>
        </w:rPr>
        <w:t>)</w:t>
      </w:r>
      <w:r w:rsidR="00D56F15">
        <w:rPr>
          <w:sz w:val="28"/>
          <w:szCs w:val="28"/>
        </w:rPr>
        <w:t xml:space="preserve"> </w:t>
      </w:r>
      <w:r w:rsidR="009946BB" w:rsidRPr="002242D5">
        <w:rPr>
          <w:b/>
          <w:sz w:val="28"/>
          <w:szCs w:val="28"/>
        </w:rPr>
        <w:t xml:space="preserve">that </w:t>
      </w:r>
      <w:r w:rsidR="007F4E8A" w:rsidRPr="002242D5">
        <w:rPr>
          <w:b/>
          <w:sz w:val="28"/>
          <w:szCs w:val="28"/>
        </w:rPr>
        <w:t>to</w:t>
      </w:r>
      <w:r w:rsidRPr="002242D5">
        <w:rPr>
          <w:b/>
          <w:sz w:val="28"/>
          <w:szCs w:val="28"/>
        </w:rPr>
        <w:t xml:space="preserve"> </w:t>
      </w:r>
      <w:r w:rsidR="007F4E8A" w:rsidRPr="002242D5">
        <w:rPr>
          <w:b/>
          <w:sz w:val="28"/>
          <w:szCs w:val="28"/>
        </w:rPr>
        <w:t>‘</w:t>
      </w:r>
      <w:r w:rsidRPr="002242D5">
        <w:rPr>
          <w:b/>
          <w:sz w:val="28"/>
          <w:szCs w:val="28"/>
        </w:rPr>
        <w:t>reduce administrative bureaucracy</w:t>
      </w:r>
      <w:r w:rsidR="007F4E8A" w:rsidRPr="002242D5">
        <w:rPr>
          <w:b/>
          <w:sz w:val="28"/>
          <w:szCs w:val="28"/>
        </w:rPr>
        <w:t>’</w:t>
      </w:r>
      <w:r w:rsidRPr="002242D5">
        <w:rPr>
          <w:b/>
          <w:sz w:val="28"/>
          <w:szCs w:val="28"/>
        </w:rPr>
        <w:t>, decision-making bodies must not run any additional local procurement/comparative/</w:t>
      </w:r>
      <w:r w:rsidR="009946BB" w:rsidRPr="002242D5">
        <w:rPr>
          <w:b/>
          <w:sz w:val="28"/>
          <w:szCs w:val="28"/>
        </w:rPr>
        <w:t xml:space="preserve"> </w:t>
      </w:r>
      <w:r w:rsidRPr="002242D5">
        <w:rPr>
          <w:b/>
          <w:sz w:val="28"/>
          <w:szCs w:val="28"/>
        </w:rPr>
        <w:t>competitive process when managing these</w:t>
      </w:r>
      <w:r w:rsidR="003F62D7" w:rsidRPr="002242D5">
        <w:rPr>
          <w:b/>
          <w:sz w:val="28"/>
          <w:szCs w:val="28"/>
        </w:rPr>
        <w:t xml:space="preserve"> </w:t>
      </w:r>
      <w:r w:rsidR="00B146EF" w:rsidRPr="002242D5">
        <w:rPr>
          <w:b/>
          <w:sz w:val="28"/>
          <w:szCs w:val="28"/>
        </w:rPr>
        <w:t xml:space="preserve">‘legal right to </w:t>
      </w:r>
      <w:r w:rsidR="003F62D7" w:rsidRPr="002242D5">
        <w:rPr>
          <w:b/>
          <w:sz w:val="28"/>
          <w:szCs w:val="28"/>
        </w:rPr>
        <w:t>choice’</w:t>
      </w:r>
      <w:r w:rsidRPr="002242D5">
        <w:rPr>
          <w:b/>
          <w:sz w:val="28"/>
          <w:szCs w:val="28"/>
        </w:rPr>
        <w:t xml:space="preserve"> lists</w:t>
      </w:r>
      <w:r w:rsidR="003F62D7" w:rsidRPr="002242D5">
        <w:rPr>
          <w:b/>
          <w:sz w:val="28"/>
          <w:szCs w:val="28"/>
        </w:rPr>
        <w:t xml:space="preserve">; </w:t>
      </w:r>
      <w:r w:rsidR="00F859A0" w:rsidRPr="002242D5">
        <w:rPr>
          <w:b/>
          <w:sz w:val="28"/>
          <w:szCs w:val="28"/>
        </w:rPr>
        <w:t>vii</w:t>
      </w:r>
      <w:r w:rsidR="00E973D2">
        <w:rPr>
          <w:b/>
          <w:sz w:val="28"/>
          <w:szCs w:val="28"/>
        </w:rPr>
        <w:t xml:space="preserve">) </w:t>
      </w:r>
      <w:r w:rsidR="00322CB5" w:rsidRPr="002242D5">
        <w:rPr>
          <w:b/>
          <w:sz w:val="28"/>
          <w:szCs w:val="28"/>
        </w:rPr>
        <w:t xml:space="preserve">that </w:t>
      </w:r>
      <w:r w:rsidR="00F859A0" w:rsidRPr="002242D5">
        <w:rPr>
          <w:b/>
          <w:sz w:val="28"/>
          <w:szCs w:val="28"/>
        </w:rPr>
        <w:t>decision</w:t>
      </w:r>
      <w:r w:rsidRPr="002242D5">
        <w:rPr>
          <w:b/>
          <w:sz w:val="28"/>
          <w:szCs w:val="28"/>
        </w:rPr>
        <w:t>-making bodies cannot set their own criteria for services where patients have a right to choice</w:t>
      </w:r>
      <w:r w:rsidR="00322CB5" w:rsidRPr="002242D5">
        <w:rPr>
          <w:b/>
          <w:sz w:val="28"/>
          <w:szCs w:val="28"/>
        </w:rPr>
        <w:t xml:space="preserve">; </w:t>
      </w:r>
      <w:r w:rsidR="00CA30E1">
        <w:rPr>
          <w:b/>
          <w:sz w:val="28"/>
          <w:szCs w:val="28"/>
        </w:rPr>
        <w:t>viii</w:t>
      </w:r>
      <w:r w:rsidR="00322CB5" w:rsidRPr="002242D5">
        <w:rPr>
          <w:b/>
          <w:sz w:val="28"/>
          <w:szCs w:val="28"/>
        </w:rPr>
        <w:t>) that decision</w:t>
      </w:r>
      <w:r w:rsidRPr="002242D5">
        <w:rPr>
          <w:b/>
          <w:sz w:val="28"/>
          <w:szCs w:val="28"/>
        </w:rPr>
        <w:t xml:space="preserve">-making bodies have no discretion to remove a provider from the ERS lists, or end/withdraw </w:t>
      </w:r>
      <w:r w:rsidR="002C599C" w:rsidRPr="002242D5">
        <w:rPr>
          <w:b/>
          <w:sz w:val="28"/>
          <w:szCs w:val="28"/>
        </w:rPr>
        <w:t>their</w:t>
      </w:r>
      <w:r w:rsidRPr="002242D5">
        <w:rPr>
          <w:b/>
          <w:sz w:val="28"/>
          <w:szCs w:val="28"/>
        </w:rPr>
        <w:t xml:space="preserve"> NHS Standard contract unless the provider ceases to meet the required service conditions or is demonstrably failing to deliver the safety/quality/service standards</w:t>
      </w:r>
      <w:r w:rsidR="000E2C7F" w:rsidRPr="002242D5">
        <w:rPr>
          <w:b/>
          <w:sz w:val="28"/>
          <w:szCs w:val="28"/>
        </w:rPr>
        <w:t xml:space="preserve">; </w:t>
      </w:r>
      <w:r w:rsidR="007C4E41">
        <w:rPr>
          <w:b/>
          <w:sz w:val="28"/>
          <w:szCs w:val="28"/>
        </w:rPr>
        <w:t>ix</w:t>
      </w:r>
      <w:r w:rsidR="004C13FE" w:rsidRPr="002242D5">
        <w:rPr>
          <w:b/>
          <w:sz w:val="28"/>
          <w:szCs w:val="28"/>
        </w:rPr>
        <w:t>) that for</w:t>
      </w:r>
      <w:r w:rsidRPr="002242D5">
        <w:rPr>
          <w:b/>
          <w:sz w:val="28"/>
          <w:szCs w:val="28"/>
        </w:rPr>
        <w:t xml:space="preserve"> </w:t>
      </w:r>
      <w:r w:rsidR="005E0F88" w:rsidRPr="002242D5">
        <w:rPr>
          <w:b/>
          <w:sz w:val="28"/>
          <w:szCs w:val="28"/>
        </w:rPr>
        <w:t>these ‘</w:t>
      </w:r>
      <w:r w:rsidRPr="002242D5">
        <w:rPr>
          <w:b/>
          <w:sz w:val="28"/>
          <w:szCs w:val="28"/>
        </w:rPr>
        <w:t xml:space="preserve">legal right to </w:t>
      </w:r>
      <w:r w:rsidRPr="002242D5">
        <w:rPr>
          <w:b/>
          <w:sz w:val="28"/>
          <w:szCs w:val="28"/>
        </w:rPr>
        <w:lastRenderedPageBreak/>
        <w:t>choice’ provider lists, the decision-making body cannot restrict the number of providers on the list, so long as they meet the stated qualification criteria.</w:t>
      </w:r>
      <w:r w:rsidR="004D2AD8" w:rsidRPr="002242D5">
        <w:rPr>
          <w:b/>
          <w:sz w:val="28"/>
          <w:szCs w:val="28"/>
        </w:rPr>
        <w:t xml:space="preserve"> </w:t>
      </w:r>
    </w:p>
    <w:p w14:paraId="12D462D4" w14:textId="788BDFAD" w:rsidR="008C2589" w:rsidRPr="002242D5" w:rsidRDefault="008C2589" w:rsidP="00563CCF">
      <w:pPr>
        <w:ind w:left="720"/>
        <w:rPr>
          <w:color w:val="5B9BD5" w:themeColor="accent5"/>
          <w:sz w:val="28"/>
          <w:szCs w:val="28"/>
        </w:rPr>
      </w:pPr>
    </w:p>
    <w:p w14:paraId="78E010FD" w14:textId="631B27DF" w:rsidR="00877B03" w:rsidRPr="002242D5" w:rsidRDefault="00563CCF" w:rsidP="00563CCF">
      <w:pPr>
        <w:ind w:left="720"/>
        <w:rPr>
          <w:color w:val="5B9BD5" w:themeColor="accent5"/>
          <w:sz w:val="28"/>
          <w:szCs w:val="28"/>
        </w:rPr>
      </w:pPr>
      <w:r>
        <w:rPr>
          <w:sz w:val="28"/>
          <w:szCs w:val="28"/>
        </w:rPr>
        <w:t xml:space="preserve">The </w:t>
      </w:r>
      <w:r w:rsidR="00877B03" w:rsidRPr="00877B03">
        <w:rPr>
          <w:sz w:val="28"/>
          <w:szCs w:val="28"/>
        </w:rPr>
        <w:t>AQP regime does not prevent decision-making bodies</w:t>
      </w:r>
      <w:r w:rsidR="00361E6D">
        <w:rPr>
          <w:sz w:val="28"/>
          <w:szCs w:val="28"/>
        </w:rPr>
        <w:t xml:space="preserve"> </w:t>
      </w:r>
      <w:r w:rsidR="00877B03" w:rsidRPr="00877B03">
        <w:rPr>
          <w:sz w:val="28"/>
          <w:szCs w:val="28"/>
        </w:rPr>
        <w:t xml:space="preserve">from seeking to contract directly with voluntary and independent sector providers for other reasons – for example, to secure additional capacity for the NHS (as has happened recently to help support the response to the COVID-19 pandemic). </w:t>
      </w:r>
      <w:r w:rsidR="008409AA">
        <w:rPr>
          <w:sz w:val="28"/>
          <w:szCs w:val="28"/>
        </w:rPr>
        <w:t>It would require</w:t>
      </w:r>
      <w:r w:rsidR="00877B03" w:rsidRPr="00877B03">
        <w:rPr>
          <w:sz w:val="28"/>
          <w:szCs w:val="28"/>
        </w:rPr>
        <w:t xml:space="preserve"> mutual agreement</w:t>
      </w:r>
      <w:r w:rsidR="00D031BC">
        <w:rPr>
          <w:sz w:val="28"/>
          <w:szCs w:val="28"/>
        </w:rPr>
        <w:t xml:space="preserve"> </w:t>
      </w:r>
      <w:r w:rsidR="008409AA">
        <w:rPr>
          <w:sz w:val="28"/>
          <w:szCs w:val="28"/>
        </w:rPr>
        <w:t>for</w:t>
      </w:r>
      <w:r w:rsidR="00877B03" w:rsidRPr="00877B03">
        <w:rPr>
          <w:sz w:val="28"/>
          <w:szCs w:val="28"/>
        </w:rPr>
        <w:t xml:space="preserve"> these arrangements </w:t>
      </w:r>
      <w:r w:rsidR="00EA14CA">
        <w:rPr>
          <w:sz w:val="28"/>
          <w:szCs w:val="28"/>
        </w:rPr>
        <w:t>to</w:t>
      </w:r>
      <w:r w:rsidR="00877B03" w:rsidRPr="00877B03">
        <w:rPr>
          <w:sz w:val="28"/>
          <w:szCs w:val="28"/>
        </w:rPr>
        <w:t xml:space="preserve"> be instead of the AQP arrangement for that provider, while still protecting patient choice.</w:t>
      </w:r>
    </w:p>
    <w:p w14:paraId="46F8C008" w14:textId="77777777" w:rsidR="00AA4008" w:rsidRDefault="00AA4008" w:rsidP="008B4F78">
      <w:pPr>
        <w:ind w:left="720"/>
        <w:rPr>
          <w:sz w:val="28"/>
          <w:szCs w:val="28"/>
        </w:rPr>
      </w:pPr>
    </w:p>
    <w:p w14:paraId="4FEBD224" w14:textId="75DCA485" w:rsidR="00877B03" w:rsidRDefault="00877B03" w:rsidP="008B4F78">
      <w:pPr>
        <w:ind w:left="720"/>
        <w:rPr>
          <w:sz w:val="28"/>
          <w:szCs w:val="28"/>
        </w:rPr>
      </w:pPr>
      <w:r w:rsidRPr="00877B03">
        <w:rPr>
          <w:sz w:val="28"/>
          <w:szCs w:val="28"/>
        </w:rPr>
        <w:t>Decision-making bodies also have an important role to play in shaping local healthcare provision, ensuring th</w:t>
      </w:r>
      <w:r w:rsidR="004F01F0">
        <w:rPr>
          <w:sz w:val="28"/>
          <w:szCs w:val="28"/>
        </w:rPr>
        <w:t>at</w:t>
      </w:r>
      <w:r w:rsidRPr="00877B03">
        <w:rPr>
          <w:sz w:val="28"/>
          <w:szCs w:val="28"/>
        </w:rPr>
        <w:t xml:space="preserve"> services are sustainable and able to innovate. Where changes to services are being considered, the regime’s key criteria (see</w:t>
      </w:r>
      <w:r w:rsidR="008B4F78">
        <w:rPr>
          <w:sz w:val="28"/>
          <w:szCs w:val="28"/>
        </w:rPr>
        <w:t xml:space="preserve"> below</w:t>
      </w:r>
      <w:r w:rsidRPr="00877B03">
        <w:rPr>
          <w:sz w:val="28"/>
          <w:szCs w:val="28"/>
        </w:rPr>
        <w:t xml:space="preserve">) ensure that decision-makers must </w:t>
      </w:r>
      <w:proofErr w:type="gramStart"/>
      <w:r w:rsidRPr="00877B03">
        <w:rPr>
          <w:sz w:val="28"/>
          <w:szCs w:val="28"/>
        </w:rPr>
        <w:t>take into account</w:t>
      </w:r>
      <w:proofErr w:type="gramEnd"/>
      <w:r w:rsidRPr="00877B03">
        <w:rPr>
          <w:sz w:val="28"/>
          <w:szCs w:val="28"/>
        </w:rPr>
        <w:t xml:space="preserve"> the potential effect of any changes on the sustainability of other services and providers, and do not stifle innovation in the short or long term.</w:t>
      </w:r>
    </w:p>
    <w:p w14:paraId="2CA06A52" w14:textId="77777777" w:rsidR="00746649" w:rsidRPr="002242D5" w:rsidRDefault="00746649" w:rsidP="008B4F78">
      <w:pPr>
        <w:ind w:left="720"/>
        <w:rPr>
          <w:color w:val="5B9BD5" w:themeColor="accent5"/>
          <w:sz w:val="28"/>
          <w:szCs w:val="28"/>
        </w:rPr>
      </w:pPr>
    </w:p>
    <w:p w14:paraId="24E983C0" w14:textId="77777777" w:rsidR="00877B03" w:rsidRPr="00877B03" w:rsidRDefault="00A2594F" w:rsidP="00A2594F">
      <w:pPr>
        <w:ind w:firstLine="720"/>
        <w:rPr>
          <w:sz w:val="28"/>
          <w:szCs w:val="28"/>
        </w:rPr>
      </w:pPr>
      <w:r>
        <w:rPr>
          <w:sz w:val="28"/>
          <w:szCs w:val="28"/>
        </w:rPr>
        <w:t xml:space="preserve">Key </w:t>
      </w:r>
      <w:r w:rsidR="00877B03" w:rsidRPr="00877B03">
        <w:rPr>
          <w:sz w:val="28"/>
          <w:szCs w:val="28"/>
        </w:rPr>
        <w:t>Criteria</w:t>
      </w:r>
      <w:r>
        <w:rPr>
          <w:sz w:val="28"/>
          <w:szCs w:val="28"/>
        </w:rPr>
        <w:t>:</w:t>
      </w:r>
    </w:p>
    <w:p w14:paraId="2D7019F8" w14:textId="77777777" w:rsidR="00877B03" w:rsidRPr="00877B03" w:rsidRDefault="00877B03" w:rsidP="00877B03">
      <w:pPr>
        <w:ind w:left="720"/>
        <w:rPr>
          <w:sz w:val="28"/>
          <w:szCs w:val="28"/>
        </w:rPr>
      </w:pPr>
      <w:r w:rsidRPr="00877B03">
        <w:rPr>
          <w:sz w:val="28"/>
          <w:szCs w:val="28"/>
        </w:rPr>
        <w:t xml:space="preserve">1.Quality (safety, </w:t>
      </w:r>
      <w:proofErr w:type="gramStart"/>
      <w:r w:rsidRPr="00877B03">
        <w:rPr>
          <w:sz w:val="28"/>
          <w:szCs w:val="28"/>
        </w:rPr>
        <w:t>effectiveness</w:t>
      </w:r>
      <w:proofErr w:type="gramEnd"/>
      <w:r w:rsidRPr="00877B03">
        <w:rPr>
          <w:sz w:val="28"/>
          <w:szCs w:val="28"/>
        </w:rPr>
        <w:t xml:space="preserve"> and experience) and innovation </w:t>
      </w:r>
    </w:p>
    <w:p w14:paraId="40A101EE" w14:textId="77777777" w:rsidR="00877B03" w:rsidRPr="00877B03" w:rsidRDefault="00877B03" w:rsidP="00877B03">
      <w:pPr>
        <w:ind w:left="720"/>
        <w:rPr>
          <w:sz w:val="28"/>
          <w:szCs w:val="28"/>
        </w:rPr>
      </w:pPr>
      <w:r w:rsidRPr="00877B03">
        <w:rPr>
          <w:sz w:val="28"/>
          <w:szCs w:val="28"/>
        </w:rPr>
        <w:t>2.Value</w:t>
      </w:r>
    </w:p>
    <w:p w14:paraId="7BD3E232" w14:textId="77777777" w:rsidR="00877B03" w:rsidRPr="00877B03" w:rsidRDefault="00877B03" w:rsidP="00877B03">
      <w:pPr>
        <w:ind w:left="720"/>
        <w:rPr>
          <w:sz w:val="28"/>
          <w:szCs w:val="28"/>
        </w:rPr>
      </w:pPr>
      <w:r w:rsidRPr="00877B03">
        <w:rPr>
          <w:sz w:val="28"/>
          <w:szCs w:val="28"/>
        </w:rPr>
        <w:t xml:space="preserve">3. Integration and collaboration </w:t>
      </w:r>
    </w:p>
    <w:p w14:paraId="0A999719" w14:textId="77777777" w:rsidR="00877B03" w:rsidRPr="00877B03" w:rsidRDefault="00877B03" w:rsidP="00877B03">
      <w:pPr>
        <w:ind w:left="720"/>
        <w:rPr>
          <w:sz w:val="28"/>
          <w:szCs w:val="28"/>
        </w:rPr>
      </w:pPr>
      <w:r w:rsidRPr="00877B03">
        <w:rPr>
          <w:sz w:val="28"/>
          <w:szCs w:val="28"/>
        </w:rPr>
        <w:t xml:space="preserve">4. Access, </w:t>
      </w:r>
      <w:proofErr w:type="gramStart"/>
      <w:r w:rsidRPr="00877B03">
        <w:rPr>
          <w:sz w:val="28"/>
          <w:szCs w:val="28"/>
        </w:rPr>
        <w:t>inequalities</w:t>
      </w:r>
      <w:proofErr w:type="gramEnd"/>
      <w:r w:rsidRPr="00877B03">
        <w:rPr>
          <w:sz w:val="28"/>
          <w:szCs w:val="28"/>
        </w:rPr>
        <w:t xml:space="preserve"> and choice </w:t>
      </w:r>
    </w:p>
    <w:p w14:paraId="4146422B" w14:textId="77777777" w:rsidR="00877B03" w:rsidRPr="005D454C" w:rsidRDefault="00877B03" w:rsidP="005D454C">
      <w:pPr>
        <w:ind w:left="720"/>
        <w:rPr>
          <w:sz w:val="28"/>
          <w:szCs w:val="28"/>
        </w:rPr>
      </w:pPr>
      <w:r w:rsidRPr="00877B03">
        <w:rPr>
          <w:sz w:val="28"/>
          <w:szCs w:val="28"/>
        </w:rPr>
        <w:t>5. Service sustainability and social value</w:t>
      </w:r>
    </w:p>
    <w:p w14:paraId="3F654C47" w14:textId="77777777" w:rsidR="00DA4586" w:rsidRPr="003649C9" w:rsidRDefault="003649C9" w:rsidP="00DA4586">
      <w:pPr>
        <w:pStyle w:val="NormalWeb"/>
        <w:shd w:val="clear" w:color="auto" w:fill="FFFFFF"/>
        <w:rPr>
          <w:rFonts w:asciiTheme="minorHAnsi" w:hAnsiTheme="minorHAnsi"/>
          <w:b/>
          <w:bCs/>
          <w:sz w:val="28"/>
          <w:szCs w:val="28"/>
        </w:rPr>
      </w:pPr>
      <w:r w:rsidRPr="003649C9">
        <w:rPr>
          <w:rFonts w:asciiTheme="minorHAnsi" w:hAnsiTheme="minorHAnsi"/>
          <w:b/>
          <w:bCs/>
          <w:sz w:val="28"/>
          <w:szCs w:val="28"/>
        </w:rPr>
        <w:t>Payment Frameworks</w:t>
      </w:r>
      <w:r w:rsidR="00B61C8B">
        <w:rPr>
          <w:rFonts w:asciiTheme="minorHAnsi" w:hAnsiTheme="minorHAnsi"/>
          <w:b/>
          <w:bCs/>
          <w:sz w:val="28"/>
          <w:szCs w:val="28"/>
        </w:rPr>
        <w:t>-</w:t>
      </w:r>
      <w:r w:rsidR="004C38E8">
        <w:rPr>
          <w:rFonts w:asciiTheme="minorHAnsi" w:hAnsiTheme="minorHAnsi"/>
          <w:b/>
          <w:bCs/>
          <w:sz w:val="28"/>
          <w:szCs w:val="28"/>
        </w:rPr>
        <w:t xml:space="preserve"> </w:t>
      </w:r>
      <w:r w:rsidR="004F47EA">
        <w:rPr>
          <w:rFonts w:asciiTheme="minorHAnsi" w:hAnsiTheme="minorHAnsi"/>
          <w:b/>
          <w:bCs/>
          <w:sz w:val="28"/>
          <w:szCs w:val="28"/>
        </w:rPr>
        <w:t xml:space="preserve">from </w:t>
      </w:r>
      <w:r w:rsidR="008A7E76">
        <w:rPr>
          <w:rFonts w:asciiTheme="minorHAnsi" w:hAnsiTheme="minorHAnsi"/>
          <w:b/>
          <w:bCs/>
          <w:sz w:val="28"/>
          <w:szCs w:val="28"/>
        </w:rPr>
        <w:t xml:space="preserve">recently published </w:t>
      </w:r>
      <w:r w:rsidR="00B848A8">
        <w:rPr>
          <w:rFonts w:asciiTheme="minorHAnsi" w:hAnsiTheme="minorHAnsi"/>
          <w:b/>
          <w:bCs/>
          <w:sz w:val="28"/>
          <w:szCs w:val="28"/>
        </w:rPr>
        <w:t>NHS</w:t>
      </w:r>
      <w:r w:rsidR="00B924EE">
        <w:rPr>
          <w:rFonts w:asciiTheme="minorHAnsi" w:hAnsiTheme="minorHAnsi"/>
          <w:b/>
          <w:bCs/>
          <w:sz w:val="28"/>
          <w:szCs w:val="28"/>
        </w:rPr>
        <w:t xml:space="preserve"> England </w:t>
      </w:r>
      <w:r w:rsidR="00B848A8">
        <w:rPr>
          <w:rFonts w:asciiTheme="minorHAnsi" w:hAnsiTheme="minorHAnsi"/>
          <w:b/>
          <w:bCs/>
          <w:sz w:val="28"/>
          <w:szCs w:val="28"/>
        </w:rPr>
        <w:t>documents</w:t>
      </w:r>
    </w:p>
    <w:p w14:paraId="2C2C25C6" w14:textId="03A03412" w:rsidR="00E40A95" w:rsidRPr="00A11FE0" w:rsidRDefault="00E40A95" w:rsidP="003649C9">
      <w:pPr>
        <w:pStyle w:val="NormalWeb"/>
        <w:shd w:val="clear" w:color="auto" w:fill="FFFFFF"/>
        <w:ind w:left="720"/>
        <w:rPr>
          <w:rFonts w:asciiTheme="minorHAnsi" w:hAnsiTheme="minorHAnsi"/>
          <w:sz w:val="28"/>
          <w:szCs w:val="28"/>
        </w:rPr>
      </w:pPr>
      <w:r w:rsidRPr="00A11FE0">
        <w:rPr>
          <w:rFonts w:asciiTheme="minorHAnsi" w:hAnsiTheme="minorHAnsi"/>
          <w:sz w:val="28"/>
          <w:szCs w:val="28"/>
        </w:rPr>
        <w:t>The impact of Covid-19, and the financial arrangements of ‘block payments’ introduced in response</w:t>
      </w:r>
      <w:r w:rsidR="00476686">
        <w:rPr>
          <w:rFonts w:asciiTheme="minorHAnsi" w:hAnsiTheme="minorHAnsi"/>
          <w:sz w:val="28"/>
          <w:szCs w:val="28"/>
        </w:rPr>
        <w:t xml:space="preserve"> to the crisis</w:t>
      </w:r>
      <w:r w:rsidR="002E639F">
        <w:rPr>
          <w:rStyle w:val="FootnoteReference"/>
          <w:rFonts w:asciiTheme="minorHAnsi" w:hAnsiTheme="minorHAnsi"/>
          <w:sz w:val="28"/>
          <w:szCs w:val="28"/>
        </w:rPr>
        <w:footnoteReference w:id="19"/>
      </w:r>
      <w:r w:rsidRPr="00A11FE0">
        <w:rPr>
          <w:rFonts w:asciiTheme="minorHAnsi" w:hAnsiTheme="minorHAnsi"/>
          <w:sz w:val="28"/>
          <w:szCs w:val="28"/>
        </w:rPr>
        <w:t xml:space="preserve">, have created a different starting point for the payment system development to that envisaged in 2019/20 when </w:t>
      </w:r>
      <w:r w:rsidR="00A82162">
        <w:rPr>
          <w:rFonts w:asciiTheme="minorHAnsi" w:hAnsiTheme="minorHAnsi"/>
          <w:sz w:val="28"/>
          <w:szCs w:val="28"/>
        </w:rPr>
        <w:t>a</w:t>
      </w:r>
      <w:r w:rsidRPr="00A11FE0">
        <w:rPr>
          <w:rFonts w:asciiTheme="minorHAnsi" w:hAnsiTheme="minorHAnsi"/>
          <w:sz w:val="28"/>
          <w:szCs w:val="28"/>
        </w:rPr>
        <w:t xml:space="preserve"> ‘blended payment framework’</w:t>
      </w:r>
      <w:r w:rsidR="0084256B">
        <w:rPr>
          <w:rStyle w:val="FootnoteReference"/>
          <w:rFonts w:asciiTheme="minorHAnsi" w:hAnsiTheme="minorHAnsi"/>
          <w:sz w:val="28"/>
          <w:szCs w:val="28"/>
        </w:rPr>
        <w:footnoteReference w:id="20"/>
      </w:r>
      <w:r w:rsidRPr="00A11FE0">
        <w:rPr>
          <w:rFonts w:asciiTheme="minorHAnsi" w:hAnsiTheme="minorHAnsi"/>
          <w:sz w:val="28"/>
          <w:szCs w:val="28"/>
        </w:rPr>
        <w:t xml:space="preserve"> was first introduced. T</w:t>
      </w:r>
      <w:r w:rsidR="00BF22EB">
        <w:rPr>
          <w:rFonts w:asciiTheme="minorHAnsi" w:hAnsiTheme="minorHAnsi"/>
          <w:sz w:val="28"/>
          <w:szCs w:val="28"/>
        </w:rPr>
        <w:t xml:space="preserve">his </w:t>
      </w:r>
      <w:r w:rsidR="007F0372">
        <w:rPr>
          <w:rFonts w:asciiTheme="minorHAnsi" w:hAnsiTheme="minorHAnsi"/>
          <w:sz w:val="28"/>
          <w:szCs w:val="28"/>
        </w:rPr>
        <w:t>blended payment</w:t>
      </w:r>
      <w:r w:rsidR="00C565C7">
        <w:rPr>
          <w:rFonts w:asciiTheme="minorHAnsi" w:hAnsiTheme="minorHAnsi"/>
          <w:sz w:val="28"/>
          <w:szCs w:val="28"/>
        </w:rPr>
        <w:t xml:space="preserve"> </w:t>
      </w:r>
      <w:r w:rsidRPr="00A11FE0">
        <w:rPr>
          <w:rFonts w:asciiTheme="minorHAnsi" w:hAnsiTheme="minorHAnsi"/>
          <w:sz w:val="28"/>
          <w:szCs w:val="28"/>
        </w:rPr>
        <w:t>framework comprises a fixed element, based on forward-looking forecasts of activity and best available cost data, and at least one of</w:t>
      </w:r>
    </w:p>
    <w:p w14:paraId="34B1D893" w14:textId="77777777" w:rsidR="00E40A95" w:rsidRPr="00A11FE0" w:rsidRDefault="00E40A95" w:rsidP="00E40A95">
      <w:pPr>
        <w:pStyle w:val="NormalWeb"/>
        <w:numPr>
          <w:ilvl w:val="1"/>
          <w:numId w:val="2"/>
        </w:numPr>
        <w:shd w:val="clear" w:color="auto" w:fill="FFFFFF"/>
        <w:rPr>
          <w:rFonts w:asciiTheme="minorHAnsi" w:hAnsiTheme="minorHAnsi"/>
          <w:sz w:val="28"/>
          <w:szCs w:val="28"/>
        </w:rPr>
      </w:pPr>
      <w:r w:rsidRPr="00A11FE0">
        <w:rPr>
          <w:rFonts w:asciiTheme="minorHAnsi" w:hAnsiTheme="minorHAnsi"/>
          <w:sz w:val="28"/>
          <w:szCs w:val="28"/>
        </w:rPr>
        <w:t>a variable element,</w:t>
      </w:r>
    </w:p>
    <w:p w14:paraId="25CE495C" w14:textId="77777777" w:rsidR="00E40A95" w:rsidRPr="00A11FE0" w:rsidRDefault="00E40A95" w:rsidP="00E40A95">
      <w:pPr>
        <w:pStyle w:val="NormalWeb"/>
        <w:numPr>
          <w:ilvl w:val="1"/>
          <w:numId w:val="2"/>
        </w:numPr>
        <w:shd w:val="clear" w:color="auto" w:fill="FFFFFF"/>
        <w:rPr>
          <w:rFonts w:asciiTheme="minorHAnsi" w:hAnsiTheme="minorHAnsi"/>
          <w:sz w:val="28"/>
          <w:szCs w:val="28"/>
        </w:rPr>
      </w:pPr>
      <w:r w:rsidRPr="00A11FE0">
        <w:rPr>
          <w:rFonts w:asciiTheme="minorHAnsi" w:hAnsiTheme="minorHAnsi"/>
          <w:sz w:val="28"/>
          <w:szCs w:val="28"/>
        </w:rPr>
        <w:lastRenderedPageBreak/>
        <w:t xml:space="preserve">a risk-sharing element and/or </w:t>
      </w:r>
    </w:p>
    <w:p w14:paraId="75E10C9C" w14:textId="316F1C2A" w:rsidR="00D940A5" w:rsidRDefault="00E40A95" w:rsidP="002D487F">
      <w:pPr>
        <w:pStyle w:val="NormalWeb"/>
        <w:numPr>
          <w:ilvl w:val="1"/>
          <w:numId w:val="2"/>
        </w:numPr>
        <w:shd w:val="clear" w:color="auto" w:fill="FFFFFF"/>
        <w:rPr>
          <w:rFonts w:asciiTheme="minorHAnsi" w:hAnsiTheme="minorHAnsi"/>
          <w:sz w:val="28"/>
          <w:szCs w:val="28"/>
        </w:rPr>
      </w:pPr>
      <w:r w:rsidRPr="00A11FE0">
        <w:rPr>
          <w:rFonts w:asciiTheme="minorHAnsi" w:hAnsiTheme="minorHAnsi"/>
          <w:sz w:val="28"/>
          <w:szCs w:val="28"/>
        </w:rPr>
        <w:t xml:space="preserve">a </w:t>
      </w:r>
      <w:r w:rsidR="00C86FEC">
        <w:rPr>
          <w:rFonts w:asciiTheme="minorHAnsi" w:hAnsiTheme="minorHAnsi"/>
          <w:sz w:val="28"/>
          <w:szCs w:val="28"/>
        </w:rPr>
        <w:t>‘</w:t>
      </w:r>
      <w:r w:rsidRPr="00A11FE0">
        <w:rPr>
          <w:rFonts w:asciiTheme="minorHAnsi" w:hAnsiTheme="minorHAnsi"/>
          <w:sz w:val="28"/>
          <w:szCs w:val="28"/>
        </w:rPr>
        <w:t>quality</w:t>
      </w:r>
      <w:r w:rsidR="00C86FEC">
        <w:rPr>
          <w:rFonts w:asciiTheme="minorHAnsi" w:hAnsiTheme="minorHAnsi"/>
          <w:sz w:val="28"/>
          <w:szCs w:val="28"/>
        </w:rPr>
        <w:t>’</w:t>
      </w:r>
      <w:r w:rsidR="008B5963">
        <w:rPr>
          <w:rStyle w:val="FootnoteReference"/>
          <w:rFonts w:asciiTheme="minorHAnsi" w:hAnsiTheme="minorHAnsi"/>
          <w:sz w:val="28"/>
          <w:szCs w:val="28"/>
        </w:rPr>
        <w:footnoteReference w:id="21"/>
      </w:r>
      <w:r w:rsidR="007A1844">
        <w:rPr>
          <w:rFonts w:asciiTheme="minorHAnsi" w:hAnsiTheme="minorHAnsi"/>
          <w:sz w:val="28"/>
          <w:szCs w:val="28"/>
        </w:rPr>
        <w:t xml:space="preserve"> </w:t>
      </w:r>
      <w:r w:rsidR="006B6E2D">
        <w:rPr>
          <w:rFonts w:asciiTheme="minorHAnsi" w:hAnsiTheme="minorHAnsi"/>
          <w:sz w:val="28"/>
          <w:szCs w:val="28"/>
        </w:rPr>
        <w:t xml:space="preserve">or </w:t>
      </w:r>
      <w:r w:rsidRPr="00A11FE0">
        <w:rPr>
          <w:rFonts w:asciiTheme="minorHAnsi" w:hAnsiTheme="minorHAnsi"/>
          <w:sz w:val="28"/>
          <w:szCs w:val="28"/>
        </w:rPr>
        <w:t>outcomes based element</w:t>
      </w:r>
    </w:p>
    <w:p w14:paraId="55ADB3BB" w14:textId="1865A874" w:rsidR="00954C25" w:rsidRPr="008870F6" w:rsidRDefault="00954C25" w:rsidP="00954C25">
      <w:pPr>
        <w:pStyle w:val="NormalWeb"/>
        <w:shd w:val="clear" w:color="auto" w:fill="FFFFFF"/>
        <w:ind w:left="720"/>
        <w:rPr>
          <w:rFonts w:asciiTheme="minorHAnsi" w:hAnsiTheme="minorHAnsi"/>
          <w:color w:val="5B9BD5" w:themeColor="accent5"/>
          <w:sz w:val="28"/>
          <w:szCs w:val="28"/>
        </w:rPr>
      </w:pPr>
      <w:r>
        <w:rPr>
          <w:rFonts w:asciiTheme="minorHAnsi" w:hAnsiTheme="minorHAnsi"/>
          <w:sz w:val="28"/>
          <w:szCs w:val="28"/>
        </w:rPr>
        <w:t xml:space="preserve">All of these are used to incentivise </w:t>
      </w:r>
      <w:r w:rsidR="00BD38C5">
        <w:rPr>
          <w:rFonts w:asciiTheme="minorHAnsi" w:hAnsiTheme="minorHAnsi"/>
          <w:sz w:val="28"/>
          <w:szCs w:val="28"/>
        </w:rPr>
        <w:t>new ways of working</w:t>
      </w:r>
      <w:r w:rsidR="00660408">
        <w:rPr>
          <w:rFonts w:asciiTheme="minorHAnsi" w:hAnsiTheme="minorHAnsi"/>
          <w:sz w:val="28"/>
          <w:szCs w:val="28"/>
        </w:rPr>
        <w:t>, either</w:t>
      </w:r>
      <w:r w:rsidR="003C5787">
        <w:rPr>
          <w:rFonts w:asciiTheme="minorHAnsi" w:hAnsiTheme="minorHAnsi"/>
          <w:sz w:val="28"/>
          <w:szCs w:val="28"/>
        </w:rPr>
        <w:t xml:space="preserve"> </w:t>
      </w:r>
      <w:r w:rsidR="00566D49">
        <w:rPr>
          <w:rFonts w:asciiTheme="minorHAnsi" w:hAnsiTheme="minorHAnsi"/>
          <w:sz w:val="28"/>
          <w:szCs w:val="28"/>
        </w:rPr>
        <w:t xml:space="preserve">by </w:t>
      </w:r>
      <w:r w:rsidR="00660408">
        <w:rPr>
          <w:rFonts w:asciiTheme="minorHAnsi" w:hAnsiTheme="minorHAnsi"/>
          <w:sz w:val="28"/>
          <w:szCs w:val="28"/>
        </w:rPr>
        <w:t>t</w:t>
      </w:r>
      <w:r w:rsidR="00566D49">
        <w:rPr>
          <w:rFonts w:asciiTheme="minorHAnsi" w:hAnsiTheme="minorHAnsi"/>
          <w:sz w:val="28"/>
          <w:szCs w:val="28"/>
        </w:rPr>
        <w:t xml:space="preserve">ying financial </w:t>
      </w:r>
      <w:r w:rsidR="00750CE1">
        <w:rPr>
          <w:rFonts w:asciiTheme="minorHAnsi" w:hAnsiTheme="minorHAnsi"/>
          <w:sz w:val="28"/>
          <w:szCs w:val="28"/>
        </w:rPr>
        <w:t>gain</w:t>
      </w:r>
      <w:r w:rsidR="00660408">
        <w:rPr>
          <w:rFonts w:asciiTheme="minorHAnsi" w:hAnsiTheme="minorHAnsi"/>
          <w:sz w:val="28"/>
          <w:szCs w:val="28"/>
        </w:rPr>
        <w:t xml:space="preserve"> to </w:t>
      </w:r>
      <w:r w:rsidR="009B297D">
        <w:rPr>
          <w:rFonts w:asciiTheme="minorHAnsi" w:hAnsiTheme="minorHAnsi"/>
          <w:sz w:val="28"/>
          <w:szCs w:val="28"/>
        </w:rPr>
        <w:t>less expensive</w:t>
      </w:r>
      <w:r w:rsidR="00750CE1">
        <w:rPr>
          <w:rFonts w:asciiTheme="minorHAnsi" w:hAnsiTheme="minorHAnsi"/>
          <w:sz w:val="28"/>
          <w:szCs w:val="28"/>
        </w:rPr>
        <w:t>,</w:t>
      </w:r>
      <w:r w:rsidR="009B297D">
        <w:rPr>
          <w:rFonts w:asciiTheme="minorHAnsi" w:hAnsiTheme="minorHAnsi"/>
          <w:sz w:val="28"/>
          <w:szCs w:val="28"/>
        </w:rPr>
        <w:t xml:space="preserve"> alternat</w:t>
      </w:r>
      <w:r w:rsidR="000B5F19">
        <w:rPr>
          <w:rFonts w:asciiTheme="minorHAnsi" w:hAnsiTheme="minorHAnsi"/>
          <w:sz w:val="28"/>
          <w:szCs w:val="28"/>
        </w:rPr>
        <w:t>ive models of care</w:t>
      </w:r>
      <w:r w:rsidR="009B297D">
        <w:rPr>
          <w:rFonts w:asciiTheme="minorHAnsi" w:hAnsiTheme="minorHAnsi"/>
          <w:sz w:val="28"/>
          <w:szCs w:val="28"/>
        </w:rPr>
        <w:t xml:space="preserve"> or </w:t>
      </w:r>
      <w:r w:rsidR="006223A5">
        <w:rPr>
          <w:rFonts w:asciiTheme="minorHAnsi" w:hAnsiTheme="minorHAnsi"/>
          <w:sz w:val="28"/>
          <w:szCs w:val="28"/>
        </w:rPr>
        <w:t xml:space="preserve">bonus </w:t>
      </w:r>
      <w:r w:rsidR="000B5F19">
        <w:rPr>
          <w:rFonts w:asciiTheme="minorHAnsi" w:hAnsiTheme="minorHAnsi"/>
          <w:sz w:val="28"/>
          <w:szCs w:val="28"/>
        </w:rPr>
        <w:t xml:space="preserve"> </w:t>
      </w:r>
      <w:r w:rsidR="006223A5">
        <w:rPr>
          <w:rFonts w:asciiTheme="minorHAnsi" w:hAnsiTheme="minorHAnsi"/>
          <w:sz w:val="28"/>
          <w:szCs w:val="28"/>
        </w:rPr>
        <w:t>payments</w:t>
      </w:r>
      <w:r w:rsidR="001E34D5">
        <w:rPr>
          <w:rFonts w:asciiTheme="minorHAnsi" w:hAnsiTheme="minorHAnsi"/>
          <w:sz w:val="28"/>
          <w:szCs w:val="28"/>
        </w:rPr>
        <w:t xml:space="preserve"> to</w:t>
      </w:r>
      <w:r w:rsidR="007669B7">
        <w:rPr>
          <w:rFonts w:asciiTheme="minorHAnsi" w:hAnsiTheme="minorHAnsi"/>
          <w:sz w:val="28"/>
          <w:szCs w:val="28"/>
        </w:rPr>
        <w:t xml:space="preserve"> </w:t>
      </w:r>
      <w:r w:rsidR="00FD6D5B">
        <w:rPr>
          <w:rFonts w:asciiTheme="minorHAnsi" w:hAnsiTheme="minorHAnsi"/>
          <w:sz w:val="28"/>
          <w:szCs w:val="28"/>
        </w:rPr>
        <w:t>‘</w:t>
      </w:r>
      <w:r w:rsidR="00FB1FD2">
        <w:rPr>
          <w:rFonts w:asciiTheme="minorHAnsi" w:hAnsiTheme="minorHAnsi"/>
          <w:sz w:val="28"/>
          <w:szCs w:val="28"/>
        </w:rPr>
        <w:t>quality</w:t>
      </w:r>
      <w:r w:rsidR="00FD6D5B">
        <w:rPr>
          <w:rFonts w:asciiTheme="minorHAnsi" w:hAnsiTheme="minorHAnsi"/>
          <w:sz w:val="28"/>
          <w:szCs w:val="28"/>
        </w:rPr>
        <w:t>’</w:t>
      </w:r>
      <w:r w:rsidR="00FB1FD2">
        <w:rPr>
          <w:rFonts w:asciiTheme="minorHAnsi" w:hAnsiTheme="minorHAnsi"/>
          <w:sz w:val="28"/>
          <w:szCs w:val="28"/>
        </w:rPr>
        <w:t xml:space="preserve"> or </w:t>
      </w:r>
      <w:r w:rsidR="007669B7">
        <w:rPr>
          <w:rFonts w:asciiTheme="minorHAnsi" w:hAnsiTheme="minorHAnsi"/>
          <w:sz w:val="28"/>
          <w:szCs w:val="28"/>
        </w:rPr>
        <w:t>outcomes and</w:t>
      </w:r>
      <w:r w:rsidR="001E34D5">
        <w:rPr>
          <w:rFonts w:asciiTheme="minorHAnsi" w:hAnsiTheme="minorHAnsi"/>
          <w:sz w:val="28"/>
          <w:szCs w:val="28"/>
        </w:rPr>
        <w:t xml:space="preserve"> </w:t>
      </w:r>
      <w:r w:rsidR="007669B7">
        <w:rPr>
          <w:rFonts w:asciiTheme="minorHAnsi" w:hAnsiTheme="minorHAnsi"/>
          <w:sz w:val="28"/>
          <w:szCs w:val="28"/>
        </w:rPr>
        <w:t>financial</w:t>
      </w:r>
      <w:r w:rsidR="000E379E">
        <w:rPr>
          <w:rFonts w:asciiTheme="minorHAnsi" w:hAnsiTheme="minorHAnsi"/>
          <w:sz w:val="28"/>
          <w:szCs w:val="28"/>
        </w:rPr>
        <w:t xml:space="preserve"> savings.</w:t>
      </w:r>
      <w:r w:rsidR="008870F6">
        <w:rPr>
          <w:rFonts w:asciiTheme="minorHAnsi" w:hAnsiTheme="minorHAnsi"/>
          <w:sz w:val="28"/>
          <w:szCs w:val="28"/>
        </w:rPr>
        <w:t xml:space="preserve"> </w:t>
      </w:r>
    </w:p>
    <w:p w14:paraId="1D43A1F6" w14:textId="651A1E49" w:rsidR="0042201D" w:rsidRPr="008870F6" w:rsidRDefault="00E40A95" w:rsidP="008870F6">
      <w:pPr>
        <w:pStyle w:val="NormalWeb"/>
        <w:shd w:val="clear" w:color="auto" w:fill="FFFFFF"/>
        <w:ind w:left="720"/>
        <w:rPr>
          <w:rFonts w:asciiTheme="minorHAnsi" w:hAnsiTheme="minorHAnsi"/>
          <w:color w:val="5B9BD5" w:themeColor="accent5"/>
          <w:sz w:val="28"/>
          <w:szCs w:val="28"/>
        </w:rPr>
      </w:pPr>
      <w:r w:rsidRPr="00A76E09">
        <w:rPr>
          <w:rFonts w:asciiTheme="minorHAnsi" w:hAnsiTheme="minorHAnsi"/>
          <w:color w:val="000000" w:themeColor="text1"/>
          <w:sz w:val="28"/>
          <w:szCs w:val="28"/>
        </w:rPr>
        <w:t xml:space="preserve">The starting point for proposals being developed for 2022/23 is </w:t>
      </w:r>
      <w:r w:rsidR="00E6356E">
        <w:rPr>
          <w:rFonts w:asciiTheme="minorHAnsi" w:hAnsiTheme="minorHAnsi"/>
          <w:color w:val="000000" w:themeColor="text1"/>
          <w:sz w:val="28"/>
          <w:szCs w:val="28"/>
        </w:rPr>
        <w:t xml:space="preserve">called </w:t>
      </w:r>
      <w:r w:rsidRPr="00A76E09">
        <w:rPr>
          <w:rFonts w:asciiTheme="minorHAnsi" w:hAnsiTheme="minorHAnsi"/>
          <w:color w:val="000000" w:themeColor="text1"/>
          <w:sz w:val="28"/>
          <w:szCs w:val="28"/>
        </w:rPr>
        <w:t xml:space="preserve">the ‘Aligned payment </w:t>
      </w:r>
      <w:r w:rsidRPr="000D6706">
        <w:rPr>
          <w:rFonts w:asciiTheme="minorHAnsi" w:hAnsiTheme="minorHAnsi"/>
          <w:color w:val="000000" w:themeColor="text1"/>
          <w:sz w:val="28"/>
          <w:szCs w:val="28"/>
        </w:rPr>
        <w:t>and incentive’ (API)</w:t>
      </w:r>
      <w:r w:rsidR="00F53285">
        <w:rPr>
          <w:rStyle w:val="FootnoteReference"/>
          <w:rFonts w:asciiTheme="minorHAnsi" w:hAnsiTheme="minorHAnsi"/>
          <w:color w:val="000000" w:themeColor="text1"/>
          <w:sz w:val="28"/>
          <w:szCs w:val="28"/>
        </w:rPr>
        <w:footnoteReference w:id="22"/>
      </w:r>
      <w:r w:rsidR="00760212">
        <w:rPr>
          <w:rFonts w:asciiTheme="minorHAnsi" w:hAnsiTheme="minorHAnsi"/>
          <w:sz w:val="28"/>
          <w:szCs w:val="28"/>
          <w:vertAlign w:val="superscript"/>
        </w:rPr>
        <w:t xml:space="preserve"> </w:t>
      </w:r>
      <w:r w:rsidR="00D354C6">
        <w:rPr>
          <w:rFonts w:asciiTheme="minorHAnsi" w:hAnsiTheme="minorHAnsi"/>
          <w:sz w:val="28"/>
          <w:szCs w:val="28"/>
          <w:vertAlign w:val="superscript"/>
        </w:rPr>
        <w:t xml:space="preserve"> </w:t>
      </w:r>
      <w:r w:rsidR="00D354C6">
        <w:rPr>
          <w:rFonts w:asciiTheme="minorHAnsi" w:hAnsiTheme="minorHAnsi"/>
          <w:sz w:val="28"/>
          <w:szCs w:val="28"/>
        </w:rPr>
        <w:t xml:space="preserve">a </w:t>
      </w:r>
      <w:r w:rsidRPr="00EF44D3">
        <w:rPr>
          <w:rFonts w:asciiTheme="minorHAnsi" w:hAnsiTheme="minorHAnsi"/>
          <w:sz w:val="28"/>
          <w:szCs w:val="28"/>
        </w:rPr>
        <w:t>blended payment</w:t>
      </w:r>
      <w:r w:rsidR="00F844F2">
        <w:rPr>
          <w:rFonts w:asciiTheme="minorHAnsi" w:hAnsiTheme="minorHAnsi"/>
          <w:sz w:val="28"/>
          <w:szCs w:val="28"/>
        </w:rPr>
        <w:t xml:space="preserve"> </w:t>
      </w:r>
      <w:r w:rsidRPr="00EF44D3">
        <w:rPr>
          <w:rFonts w:asciiTheme="minorHAnsi" w:hAnsiTheme="minorHAnsi"/>
          <w:sz w:val="28"/>
          <w:szCs w:val="28"/>
        </w:rPr>
        <w:t xml:space="preserve"> introduced for the 2021/22 national tariff</w:t>
      </w:r>
      <w:r w:rsidR="00B95422">
        <w:rPr>
          <w:rFonts w:asciiTheme="minorHAnsi" w:hAnsiTheme="minorHAnsi"/>
          <w:sz w:val="28"/>
          <w:szCs w:val="28"/>
        </w:rPr>
        <w:t xml:space="preserve"> </w:t>
      </w:r>
      <w:r w:rsidRPr="00EF44D3">
        <w:rPr>
          <w:rFonts w:asciiTheme="minorHAnsi" w:hAnsiTheme="minorHAnsi"/>
          <w:sz w:val="28"/>
          <w:szCs w:val="28"/>
        </w:rPr>
        <w:t xml:space="preserve">and designed to support a smooth transition out of the Covid-19 payment arrangements, while making progress </w:t>
      </w:r>
      <w:r w:rsidR="00955308">
        <w:rPr>
          <w:rFonts w:asciiTheme="minorHAnsi" w:hAnsiTheme="minorHAnsi"/>
          <w:sz w:val="28"/>
          <w:szCs w:val="28"/>
        </w:rPr>
        <w:t>towards</w:t>
      </w:r>
      <w:r w:rsidRPr="00EF44D3">
        <w:rPr>
          <w:rFonts w:asciiTheme="minorHAnsi" w:hAnsiTheme="minorHAnsi"/>
          <w:sz w:val="28"/>
          <w:szCs w:val="28"/>
        </w:rPr>
        <w:t xml:space="preserve"> the new payment system. </w:t>
      </w:r>
      <w:r w:rsidR="000D2251">
        <w:rPr>
          <w:rFonts w:asciiTheme="minorHAnsi" w:hAnsiTheme="minorHAnsi"/>
          <w:sz w:val="28"/>
          <w:szCs w:val="28"/>
        </w:rPr>
        <w:t>The</w:t>
      </w:r>
      <w:r w:rsidRPr="00EF44D3">
        <w:rPr>
          <w:rFonts w:asciiTheme="minorHAnsi" w:hAnsiTheme="minorHAnsi"/>
          <w:sz w:val="28"/>
          <w:szCs w:val="28"/>
        </w:rPr>
        <w:t xml:space="preserve"> </w:t>
      </w:r>
      <w:r w:rsidR="00247607">
        <w:rPr>
          <w:rFonts w:asciiTheme="minorHAnsi" w:hAnsiTheme="minorHAnsi"/>
          <w:sz w:val="28"/>
          <w:szCs w:val="28"/>
        </w:rPr>
        <w:t xml:space="preserve">2022/23 </w:t>
      </w:r>
      <w:r w:rsidRPr="00EF44D3">
        <w:rPr>
          <w:rFonts w:asciiTheme="minorHAnsi" w:hAnsiTheme="minorHAnsi"/>
          <w:sz w:val="28"/>
          <w:szCs w:val="28"/>
        </w:rPr>
        <w:t>API model</w:t>
      </w:r>
      <w:r w:rsidR="00741484">
        <w:rPr>
          <w:rStyle w:val="FootnoteReference"/>
          <w:rFonts w:asciiTheme="minorHAnsi" w:hAnsiTheme="minorHAnsi"/>
          <w:sz w:val="28"/>
          <w:szCs w:val="28"/>
        </w:rPr>
        <w:footnoteReference w:id="23"/>
      </w:r>
      <w:r w:rsidRPr="00EF44D3">
        <w:rPr>
          <w:rFonts w:asciiTheme="minorHAnsi" w:hAnsiTheme="minorHAnsi"/>
          <w:sz w:val="28"/>
          <w:szCs w:val="28"/>
        </w:rPr>
        <w:t xml:space="preserve"> involves</w:t>
      </w:r>
      <w:r w:rsidR="00297972">
        <w:rPr>
          <w:rFonts w:asciiTheme="minorHAnsi" w:hAnsiTheme="minorHAnsi"/>
          <w:sz w:val="28"/>
          <w:szCs w:val="28"/>
        </w:rPr>
        <w:t xml:space="preserve"> </w:t>
      </w:r>
      <w:r w:rsidRPr="00EF44D3">
        <w:rPr>
          <w:rFonts w:asciiTheme="minorHAnsi" w:hAnsiTheme="minorHAnsi"/>
          <w:sz w:val="28"/>
          <w:szCs w:val="28"/>
        </w:rPr>
        <w:t>providers and commissioners agreeing locally a fixed element to deliver an agreed level of activity</w:t>
      </w:r>
      <w:r w:rsidR="00AA2E61">
        <w:rPr>
          <w:rFonts w:asciiTheme="minorHAnsi" w:hAnsiTheme="minorHAnsi"/>
          <w:sz w:val="28"/>
          <w:szCs w:val="28"/>
        </w:rPr>
        <w:t>,</w:t>
      </w:r>
      <w:r w:rsidR="00654A37">
        <w:rPr>
          <w:rFonts w:asciiTheme="minorHAnsi" w:hAnsiTheme="minorHAnsi"/>
          <w:sz w:val="28"/>
          <w:szCs w:val="28"/>
        </w:rPr>
        <w:t xml:space="preserve"> </w:t>
      </w:r>
      <w:r w:rsidRPr="00EF44D3">
        <w:rPr>
          <w:rFonts w:asciiTheme="minorHAnsi" w:hAnsiTheme="minorHAnsi"/>
          <w:sz w:val="28"/>
          <w:szCs w:val="28"/>
        </w:rPr>
        <w:t xml:space="preserve"> </w:t>
      </w:r>
      <w:r w:rsidR="007F6E6B">
        <w:rPr>
          <w:rFonts w:asciiTheme="minorHAnsi" w:hAnsiTheme="minorHAnsi"/>
          <w:sz w:val="28"/>
          <w:szCs w:val="28"/>
        </w:rPr>
        <w:t>with</w:t>
      </w:r>
      <w:r w:rsidRPr="00EF44D3">
        <w:rPr>
          <w:rFonts w:asciiTheme="minorHAnsi" w:hAnsiTheme="minorHAnsi"/>
          <w:sz w:val="28"/>
          <w:szCs w:val="28"/>
        </w:rPr>
        <w:t xml:space="preserve"> a variable element</w:t>
      </w:r>
      <w:r w:rsidR="00E14B2A">
        <w:rPr>
          <w:rFonts w:asciiTheme="minorHAnsi" w:hAnsiTheme="minorHAnsi"/>
          <w:sz w:val="28"/>
          <w:szCs w:val="28"/>
        </w:rPr>
        <w:t xml:space="preserve"> </w:t>
      </w:r>
      <w:r w:rsidR="00AA2E61">
        <w:rPr>
          <w:rFonts w:asciiTheme="minorHAnsi" w:hAnsiTheme="minorHAnsi"/>
          <w:sz w:val="28"/>
          <w:szCs w:val="28"/>
        </w:rPr>
        <w:t>using Best</w:t>
      </w:r>
      <w:r w:rsidR="00E14B2A" w:rsidRPr="00EF44D3">
        <w:rPr>
          <w:rFonts w:asciiTheme="minorHAnsi" w:hAnsiTheme="minorHAnsi"/>
          <w:sz w:val="28"/>
          <w:szCs w:val="28"/>
        </w:rPr>
        <w:t xml:space="preserve"> </w:t>
      </w:r>
      <w:r w:rsidR="003A2537">
        <w:rPr>
          <w:rFonts w:asciiTheme="minorHAnsi" w:hAnsiTheme="minorHAnsi"/>
          <w:sz w:val="28"/>
          <w:szCs w:val="28"/>
        </w:rPr>
        <w:t>Practice</w:t>
      </w:r>
      <w:r w:rsidR="00E14B2A" w:rsidRPr="00EF44D3">
        <w:rPr>
          <w:rFonts w:asciiTheme="minorHAnsi" w:hAnsiTheme="minorHAnsi"/>
          <w:sz w:val="28"/>
          <w:szCs w:val="28"/>
        </w:rPr>
        <w:t xml:space="preserve"> </w:t>
      </w:r>
      <w:r w:rsidR="003A2537">
        <w:rPr>
          <w:rFonts w:asciiTheme="minorHAnsi" w:hAnsiTheme="minorHAnsi"/>
          <w:sz w:val="28"/>
          <w:szCs w:val="28"/>
        </w:rPr>
        <w:t>Tariffs</w:t>
      </w:r>
      <w:r w:rsidR="00E14B2A" w:rsidRPr="00EF44D3">
        <w:rPr>
          <w:rStyle w:val="FootnoteReference"/>
          <w:rFonts w:asciiTheme="minorHAnsi" w:hAnsiTheme="minorHAnsi"/>
          <w:sz w:val="28"/>
          <w:szCs w:val="28"/>
        </w:rPr>
        <w:footnoteReference w:id="24"/>
      </w:r>
      <w:r w:rsidR="00E14B2A" w:rsidRPr="00EF44D3">
        <w:rPr>
          <w:rFonts w:asciiTheme="minorHAnsi" w:hAnsiTheme="minorHAnsi"/>
          <w:sz w:val="28"/>
          <w:szCs w:val="28"/>
        </w:rPr>
        <w:t xml:space="preserve"> and </w:t>
      </w:r>
      <w:r w:rsidR="00EA6128">
        <w:rPr>
          <w:rFonts w:asciiTheme="minorHAnsi" w:hAnsiTheme="minorHAnsi"/>
          <w:sz w:val="28"/>
          <w:szCs w:val="28"/>
        </w:rPr>
        <w:t>CQUINs</w:t>
      </w:r>
      <w:r w:rsidR="00E14B2A" w:rsidRPr="00EF44D3">
        <w:rPr>
          <w:rStyle w:val="FootnoteReference"/>
          <w:rFonts w:asciiTheme="minorHAnsi" w:hAnsiTheme="minorHAnsi"/>
          <w:sz w:val="28"/>
          <w:szCs w:val="28"/>
        </w:rPr>
        <w:footnoteReference w:id="25"/>
      </w:r>
      <w:r w:rsidR="004579DA">
        <w:rPr>
          <w:rFonts w:asciiTheme="minorHAnsi" w:hAnsiTheme="minorHAnsi"/>
          <w:sz w:val="28"/>
          <w:szCs w:val="28"/>
        </w:rPr>
        <w:t xml:space="preserve"> </w:t>
      </w:r>
      <w:r w:rsidRPr="00EF44D3">
        <w:rPr>
          <w:rFonts w:asciiTheme="minorHAnsi" w:hAnsiTheme="minorHAnsi"/>
          <w:sz w:val="28"/>
          <w:szCs w:val="28"/>
        </w:rPr>
        <w:t>to</w:t>
      </w:r>
      <w:r w:rsidR="00870F8F">
        <w:rPr>
          <w:rFonts w:asciiTheme="minorHAnsi" w:hAnsiTheme="minorHAnsi"/>
          <w:sz w:val="28"/>
          <w:szCs w:val="28"/>
        </w:rPr>
        <w:t xml:space="preserve"> address</w:t>
      </w:r>
      <w:r w:rsidRPr="00EF44D3">
        <w:rPr>
          <w:rFonts w:asciiTheme="minorHAnsi" w:hAnsiTheme="minorHAnsi"/>
          <w:sz w:val="28"/>
          <w:szCs w:val="28"/>
        </w:rPr>
        <w:t xml:space="preserve"> </w:t>
      </w:r>
      <w:r w:rsidR="00911D5F">
        <w:rPr>
          <w:rFonts w:asciiTheme="minorHAnsi" w:hAnsiTheme="minorHAnsi"/>
          <w:sz w:val="28"/>
          <w:szCs w:val="28"/>
        </w:rPr>
        <w:t>‘</w:t>
      </w:r>
      <w:r w:rsidRPr="00EF44D3">
        <w:rPr>
          <w:rFonts w:asciiTheme="minorHAnsi" w:hAnsiTheme="minorHAnsi"/>
          <w:sz w:val="28"/>
          <w:szCs w:val="28"/>
        </w:rPr>
        <w:t>quality</w:t>
      </w:r>
      <w:r w:rsidR="00911D5F">
        <w:rPr>
          <w:rFonts w:asciiTheme="minorHAnsi" w:hAnsiTheme="minorHAnsi"/>
          <w:sz w:val="28"/>
          <w:szCs w:val="28"/>
        </w:rPr>
        <w:t>’</w:t>
      </w:r>
      <w:r w:rsidRPr="00EF44D3">
        <w:rPr>
          <w:rFonts w:asciiTheme="minorHAnsi" w:hAnsiTheme="minorHAnsi"/>
          <w:sz w:val="28"/>
          <w:szCs w:val="28"/>
        </w:rPr>
        <w:t xml:space="preserve"> of care</w:t>
      </w:r>
      <w:r w:rsidRPr="00EF44D3">
        <w:rPr>
          <w:rFonts w:asciiTheme="minorHAnsi" w:hAnsiTheme="minorHAnsi"/>
          <w:color w:val="FF0000"/>
          <w:sz w:val="28"/>
          <w:szCs w:val="28"/>
        </w:rPr>
        <w:t xml:space="preserve"> </w:t>
      </w:r>
      <w:r w:rsidRPr="00811036">
        <w:rPr>
          <w:rFonts w:asciiTheme="minorHAnsi" w:hAnsiTheme="minorHAnsi"/>
          <w:color w:val="000000" w:themeColor="text1"/>
          <w:sz w:val="28"/>
          <w:szCs w:val="28"/>
        </w:rPr>
        <w:t xml:space="preserve">while </w:t>
      </w:r>
      <w:r w:rsidR="005366E7">
        <w:rPr>
          <w:rFonts w:asciiTheme="minorHAnsi" w:hAnsiTheme="minorHAnsi"/>
          <w:color w:val="000000" w:themeColor="text1"/>
          <w:sz w:val="28"/>
          <w:szCs w:val="28"/>
        </w:rPr>
        <w:t xml:space="preserve">also </w:t>
      </w:r>
      <w:r w:rsidR="0064053C">
        <w:rPr>
          <w:rFonts w:asciiTheme="minorHAnsi" w:hAnsiTheme="minorHAnsi"/>
          <w:color w:val="000000" w:themeColor="text1"/>
          <w:sz w:val="28"/>
          <w:szCs w:val="28"/>
        </w:rPr>
        <w:t xml:space="preserve">helping </w:t>
      </w:r>
      <w:r w:rsidR="0039657D">
        <w:rPr>
          <w:rFonts w:asciiTheme="minorHAnsi" w:hAnsiTheme="minorHAnsi"/>
          <w:color w:val="000000" w:themeColor="text1"/>
          <w:sz w:val="28"/>
          <w:szCs w:val="28"/>
        </w:rPr>
        <w:t>with any</w:t>
      </w:r>
      <w:r w:rsidRPr="00811036">
        <w:rPr>
          <w:rFonts w:asciiTheme="minorHAnsi" w:hAnsiTheme="minorHAnsi"/>
          <w:color w:val="000000" w:themeColor="text1"/>
          <w:sz w:val="28"/>
          <w:szCs w:val="28"/>
        </w:rPr>
        <w:t xml:space="preserve"> </w:t>
      </w:r>
      <w:r w:rsidRPr="00EF44D3">
        <w:rPr>
          <w:rFonts w:asciiTheme="minorHAnsi" w:hAnsiTheme="minorHAnsi"/>
          <w:sz w:val="28"/>
          <w:szCs w:val="28"/>
        </w:rPr>
        <w:t xml:space="preserve">deviations from </w:t>
      </w:r>
      <w:r w:rsidR="007F6E6B">
        <w:rPr>
          <w:rFonts w:asciiTheme="minorHAnsi" w:hAnsiTheme="minorHAnsi"/>
          <w:sz w:val="28"/>
          <w:szCs w:val="28"/>
        </w:rPr>
        <w:t xml:space="preserve">the </w:t>
      </w:r>
      <w:r w:rsidRPr="00EF44D3">
        <w:rPr>
          <w:rFonts w:asciiTheme="minorHAnsi" w:hAnsiTheme="minorHAnsi"/>
          <w:sz w:val="28"/>
          <w:szCs w:val="28"/>
        </w:rPr>
        <w:t>planned activity levels used to set the fixed element. API arrangements cover almost all secondary healthcare</w:t>
      </w:r>
      <w:r w:rsidRPr="00EF44D3">
        <w:rPr>
          <w:rFonts w:asciiTheme="minorHAnsi" w:hAnsiTheme="minorHAnsi"/>
          <w:color w:val="FF0000"/>
          <w:sz w:val="28"/>
          <w:szCs w:val="28"/>
        </w:rPr>
        <w:t xml:space="preserve"> </w:t>
      </w:r>
      <w:r w:rsidRPr="00EF44D3">
        <w:rPr>
          <w:rFonts w:asciiTheme="minorHAnsi" w:hAnsiTheme="minorHAnsi"/>
          <w:sz w:val="28"/>
          <w:szCs w:val="28"/>
        </w:rPr>
        <w:t xml:space="preserve">services, including acute, community, </w:t>
      </w:r>
      <w:proofErr w:type="gramStart"/>
      <w:r w:rsidRPr="00EF44D3">
        <w:rPr>
          <w:rFonts w:asciiTheme="minorHAnsi" w:hAnsiTheme="minorHAnsi"/>
          <w:sz w:val="28"/>
          <w:szCs w:val="28"/>
        </w:rPr>
        <w:t>ambulance</w:t>
      </w:r>
      <w:proofErr w:type="gramEnd"/>
      <w:r w:rsidRPr="00EF44D3">
        <w:rPr>
          <w:rFonts w:asciiTheme="minorHAnsi" w:hAnsiTheme="minorHAnsi"/>
          <w:sz w:val="28"/>
          <w:szCs w:val="28"/>
        </w:rPr>
        <w:t xml:space="preserve"> and mental health</w:t>
      </w:r>
      <w:r w:rsidR="00044C3B">
        <w:rPr>
          <w:rFonts w:asciiTheme="minorHAnsi" w:hAnsiTheme="minorHAnsi"/>
          <w:color w:val="000000" w:themeColor="text1"/>
          <w:sz w:val="28"/>
          <w:szCs w:val="28"/>
        </w:rPr>
        <w:t>.</w:t>
      </w:r>
      <w:r w:rsidR="00CF1875">
        <w:rPr>
          <w:rFonts w:asciiTheme="minorHAnsi" w:hAnsiTheme="minorHAnsi"/>
          <w:color w:val="000000" w:themeColor="text1"/>
          <w:sz w:val="28"/>
          <w:szCs w:val="28"/>
        </w:rPr>
        <w:t xml:space="preserve"> </w:t>
      </w:r>
      <w:r w:rsidR="00CF1875" w:rsidRPr="00CF1875">
        <w:rPr>
          <w:rFonts w:asciiTheme="minorHAnsi" w:hAnsiTheme="minorHAnsi"/>
          <w:color w:val="000000" w:themeColor="text1"/>
          <w:sz w:val="28"/>
          <w:szCs w:val="28"/>
        </w:rPr>
        <w:t xml:space="preserve">For 2022/23, </w:t>
      </w:r>
      <w:r w:rsidR="00814AAE">
        <w:rPr>
          <w:rFonts w:asciiTheme="minorHAnsi" w:hAnsiTheme="minorHAnsi"/>
          <w:color w:val="000000" w:themeColor="text1"/>
          <w:sz w:val="28"/>
          <w:szCs w:val="28"/>
        </w:rPr>
        <w:t xml:space="preserve">NHS England </w:t>
      </w:r>
      <w:r w:rsidR="00CF1875" w:rsidRPr="00CF1875">
        <w:rPr>
          <w:rFonts w:asciiTheme="minorHAnsi" w:hAnsiTheme="minorHAnsi"/>
          <w:color w:val="000000" w:themeColor="text1"/>
          <w:sz w:val="28"/>
          <w:szCs w:val="28"/>
        </w:rPr>
        <w:t xml:space="preserve">are considering two </w:t>
      </w:r>
      <w:r w:rsidR="00674B06">
        <w:rPr>
          <w:rFonts w:asciiTheme="minorHAnsi" w:hAnsiTheme="minorHAnsi"/>
          <w:color w:val="000000" w:themeColor="text1"/>
          <w:sz w:val="28"/>
          <w:szCs w:val="28"/>
        </w:rPr>
        <w:t xml:space="preserve">threshold </w:t>
      </w:r>
      <w:r w:rsidR="00CF1875" w:rsidRPr="00CF1875">
        <w:rPr>
          <w:rFonts w:asciiTheme="minorHAnsi" w:hAnsiTheme="minorHAnsi"/>
          <w:color w:val="000000" w:themeColor="text1"/>
          <w:sz w:val="28"/>
          <w:szCs w:val="28"/>
        </w:rPr>
        <w:t>options</w:t>
      </w:r>
      <w:r w:rsidR="00674B06">
        <w:rPr>
          <w:rFonts w:asciiTheme="minorHAnsi" w:hAnsiTheme="minorHAnsi"/>
          <w:color w:val="000000" w:themeColor="text1"/>
          <w:sz w:val="28"/>
          <w:szCs w:val="28"/>
        </w:rPr>
        <w:t xml:space="preserve"> for contracts </w:t>
      </w:r>
      <w:r w:rsidR="007878F0">
        <w:rPr>
          <w:rFonts w:asciiTheme="minorHAnsi" w:hAnsiTheme="minorHAnsi"/>
          <w:color w:val="000000" w:themeColor="text1"/>
          <w:sz w:val="28"/>
          <w:szCs w:val="28"/>
        </w:rPr>
        <w:t xml:space="preserve">to be within API: </w:t>
      </w:r>
      <w:r w:rsidR="00CF1875" w:rsidRPr="00CF1875">
        <w:rPr>
          <w:rFonts w:asciiTheme="minorHAnsi" w:hAnsiTheme="minorHAnsi"/>
          <w:color w:val="000000" w:themeColor="text1"/>
          <w:sz w:val="28"/>
          <w:szCs w:val="28"/>
        </w:rPr>
        <w:t xml:space="preserve"> £10 million</w:t>
      </w:r>
      <w:r w:rsidR="000556CF">
        <w:rPr>
          <w:rFonts w:asciiTheme="minorHAnsi" w:hAnsiTheme="minorHAnsi"/>
          <w:color w:val="000000" w:themeColor="text1"/>
          <w:sz w:val="28"/>
          <w:szCs w:val="28"/>
        </w:rPr>
        <w:t xml:space="preserve"> </w:t>
      </w:r>
      <w:r w:rsidR="007B4A06">
        <w:rPr>
          <w:rFonts w:asciiTheme="minorHAnsi" w:hAnsiTheme="minorHAnsi"/>
          <w:color w:val="000000" w:themeColor="text1"/>
          <w:sz w:val="28"/>
          <w:szCs w:val="28"/>
        </w:rPr>
        <w:t>which</w:t>
      </w:r>
      <w:r w:rsidR="00CF1875" w:rsidRPr="00CF1875">
        <w:rPr>
          <w:rFonts w:asciiTheme="minorHAnsi" w:hAnsiTheme="minorHAnsi"/>
          <w:color w:val="000000" w:themeColor="text1"/>
          <w:sz w:val="28"/>
          <w:szCs w:val="28"/>
        </w:rPr>
        <w:t xml:space="preserve"> maximises the scope of API and means there is no policy change from 2021/22</w:t>
      </w:r>
      <w:r w:rsidR="0063689F">
        <w:rPr>
          <w:rFonts w:asciiTheme="minorHAnsi" w:hAnsiTheme="minorHAnsi"/>
          <w:color w:val="000000" w:themeColor="text1"/>
          <w:sz w:val="28"/>
          <w:szCs w:val="28"/>
        </w:rPr>
        <w:t>,</w:t>
      </w:r>
      <w:r w:rsidR="00194900">
        <w:rPr>
          <w:rFonts w:asciiTheme="minorHAnsi" w:hAnsiTheme="minorHAnsi"/>
          <w:color w:val="000000" w:themeColor="text1"/>
          <w:sz w:val="28"/>
          <w:szCs w:val="28"/>
        </w:rPr>
        <w:t xml:space="preserve"> and</w:t>
      </w:r>
      <w:r w:rsidR="00CF1875" w:rsidRPr="00CF1875">
        <w:rPr>
          <w:rFonts w:asciiTheme="minorHAnsi" w:hAnsiTheme="minorHAnsi"/>
          <w:color w:val="000000" w:themeColor="text1"/>
          <w:sz w:val="28"/>
          <w:szCs w:val="28"/>
        </w:rPr>
        <w:t xml:space="preserve"> £30 million </w:t>
      </w:r>
      <w:r w:rsidR="00194900">
        <w:rPr>
          <w:rFonts w:asciiTheme="minorHAnsi" w:hAnsiTheme="minorHAnsi"/>
          <w:color w:val="000000" w:themeColor="text1"/>
          <w:sz w:val="28"/>
          <w:szCs w:val="28"/>
        </w:rPr>
        <w:t xml:space="preserve">which </w:t>
      </w:r>
      <w:r w:rsidR="00CF1875" w:rsidRPr="00CF1875">
        <w:rPr>
          <w:rFonts w:asciiTheme="minorHAnsi" w:hAnsiTheme="minorHAnsi"/>
          <w:color w:val="000000" w:themeColor="text1"/>
          <w:sz w:val="28"/>
          <w:szCs w:val="28"/>
        </w:rPr>
        <w:t>broadly</w:t>
      </w:r>
      <w:r w:rsidR="00194900">
        <w:rPr>
          <w:rFonts w:asciiTheme="minorHAnsi" w:hAnsiTheme="minorHAnsi"/>
          <w:color w:val="000000" w:themeColor="text1"/>
          <w:sz w:val="28"/>
          <w:szCs w:val="28"/>
        </w:rPr>
        <w:t xml:space="preserve"> </w:t>
      </w:r>
      <w:r w:rsidR="00CF1875" w:rsidRPr="00CF1875">
        <w:rPr>
          <w:rFonts w:asciiTheme="minorHAnsi" w:hAnsiTheme="minorHAnsi"/>
          <w:color w:val="000000" w:themeColor="text1"/>
          <w:sz w:val="28"/>
          <w:szCs w:val="28"/>
        </w:rPr>
        <w:t>retains the same level of contract value as 2021/22</w:t>
      </w:r>
      <w:r w:rsidR="0063689F">
        <w:rPr>
          <w:rFonts w:asciiTheme="minorHAnsi" w:hAnsiTheme="minorHAnsi"/>
          <w:color w:val="000000" w:themeColor="text1"/>
          <w:sz w:val="28"/>
          <w:szCs w:val="28"/>
        </w:rPr>
        <w:t xml:space="preserve"> but also</w:t>
      </w:r>
      <w:r w:rsidR="00CF1875" w:rsidRPr="00CF1875">
        <w:rPr>
          <w:rFonts w:asciiTheme="minorHAnsi" w:hAnsiTheme="minorHAnsi"/>
          <w:color w:val="000000" w:themeColor="text1"/>
          <w:sz w:val="28"/>
          <w:szCs w:val="28"/>
        </w:rPr>
        <w:t xml:space="preserve"> keeps a significant level of funding locally determined and simplifies things for specialist trusts and independent sector providers</w:t>
      </w:r>
      <w:r w:rsidR="00F72DFA">
        <w:rPr>
          <w:rFonts w:asciiTheme="minorHAnsi" w:hAnsiTheme="minorHAnsi"/>
          <w:color w:val="000000" w:themeColor="text1"/>
          <w:sz w:val="28"/>
          <w:szCs w:val="28"/>
          <w:vertAlign w:val="superscript"/>
        </w:rPr>
        <w:t>2</w:t>
      </w:r>
      <w:r w:rsidR="00BF28CC">
        <w:rPr>
          <w:rFonts w:asciiTheme="minorHAnsi" w:hAnsiTheme="minorHAnsi"/>
          <w:color w:val="000000" w:themeColor="text1"/>
          <w:sz w:val="28"/>
          <w:szCs w:val="28"/>
          <w:vertAlign w:val="superscript"/>
        </w:rPr>
        <w:t>3</w:t>
      </w:r>
      <w:r w:rsidR="00D00B8E">
        <w:rPr>
          <w:rFonts w:asciiTheme="minorHAnsi" w:hAnsiTheme="minorHAnsi"/>
          <w:color w:val="000000" w:themeColor="text1"/>
          <w:sz w:val="28"/>
          <w:szCs w:val="28"/>
        </w:rPr>
        <w:t>.</w:t>
      </w:r>
      <w:r w:rsidR="008870F6">
        <w:rPr>
          <w:rFonts w:asciiTheme="minorHAnsi" w:hAnsiTheme="minorHAnsi"/>
          <w:color w:val="000000" w:themeColor="text1"/>
          <w:sz w:val="28"/>
          <w:szCs w:val="28"/>
        </w:rPr>
        <w:t xml:space="preserve"> </w:t>
      </w:r>
    </w:p>
    <w:p w14:paraId="46A91D21" w14:textId="77777777" w:rsidR="009720D5" w:rsidRPr="009720D5" w:rsidRDefault="009720D5" w:rsidP="009720D5">
      <w:pPr>
        <w:pStyle w:val="NormalWeb"/>
        <w:shd w:val="clear" w:color="auto" w:fill="FFFFFF"/>
        <w:rPr>
          <w:rFonts w:asciiTheme="minorHAnsi" w:hAnsiTheme="minorHAnsi"/>
          <w:b/>
          <w:bCs/>
          <w:color w:val="000000" w:themeColor="text1"/>
          <w:sz w:val="28"/>
          <w:szCs w:val="28"/>
        </w:rPr>
      </w:pPr>
      <w:r w:rsidRPr="009720D5">
        <w:rPr>
          <w:rFonts w:asciiTheme="minorHAnsi" w:hAnsiTheme="minorHAnsi"/>
          <w:b/>
          <w:bCs/>
          <w:color w:val="000000" w:themeColor="text1"/>
          <w:sz w:val="28"/>
          <w:szCs w:val="28"/>
        </w:rPr>
        <w:t xml:space="preserve">Risk and reward sharing </w:t>
      </w:r>
    </w:p>
    <w:p w14:paraId="60CF4EC2" w14:textId="1EB3B2DA" w:rsidR="00C07F57" w:rsidRDefault="00CD02AB" w:rsidP="00DD3BC1">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Risk</w:t>
      </w:r>
      <w:r w:rsidR="00D92510">
        <w:rPr>
          <w:rFonts w:asciiTheme="minorHAnsi" w:hAnsiTheme="minorHAnsi"/>
          <w:color w:val="000000" w:themeColor="text1"/>
          <w:sz w:val="28"/>
          <w:szCs w:val="28"/>
        </w:rPr>
        <w:t xml:space="preserve"> </w:t>
      </w:r>
      <w:r w:rsidR="00304EEA" w:rsidRPr="00304EEA">
        <w:rPr>
          <w:rFonts w:asciiTheme="minorHAnsi" w:hAnsiTheme="minorHAnsi"/>
          <w:color w:val="000000" w:themeColor="text1"/>
          <w:sz w:val="28"/>
          <w:szCs w:val="28"/>
        </w:rPr>
        <w:t xml:space="preserve">and reward sharing is a key feature of the policy agenda for </w:t>
      </w:r>
      <w:r w:rsidR="00B7130D">
        <w:rPr>
          <w:rFonts w:asciiTheme="minorHAnsi" w:hAnsiTheme="minorHAnsi"/>
          <w:color w:val="000000" w:themeColor="text1"/>
          <w:sz w:val="28"/>
          <w:szCs w:val="28"/>
        </w:rPr>
        <w:t>ACOs</w:t>
      </w:r>
      <w:r w:rsidR="00304EEA" w:rsidRPr="00304EEA">
        <w:rPr>
          <w:rFonts w:asciiTheme="minorHAnsi" w:hAnsiTheme="minorHAnsi"/>
          <w:color w:val="000000" w:themeColor="text1"/>
          <w:sz w:val="28"/>
          <w:szCs w:val="28"/>
        </w:rPr>
        <w:t xml:space="preserve"> in the US and </w:t>
      </w:r>
      <w:r w:rsidR="00D92510">
        <w:rPr>
          <w:rFonts w:asciiTheme="minorHAnsi" w:hAnsiTheme="minorHAnsi"/>
          <w:color w:val="000000" w:themeColor="text1"/>
          <w:sz w:val="28"/>
          <w:szCs w:val="28"/>
        </w:rPr>
        <w:t xml:space="preserve">also </w:t>
      </w:r>
      <w:r w:rsidR="000F3CB9">
        <w:rPr>
          <w:rFonts w:asciiTheme="minorHAnsi" w:hAnsiTheme="minorHAnsi"/>
          <w:color w:val="000000" w:themeColor="text1"/>
          <w:sz w:val="28"/>
          <w:szCs w:val="28"/>
        </w:rPr>
        <w:t>ICSs</w:t>
      </w:r>
      <w:r w:rsidR="00F02914">
        <w:rPr>
          <w:rStyle w:val="FootnoteReference"/>
          <w:rFonts w:asciiTheme="minorHAnsi" w:hAnsiTheme="minorHAnsi"/>
          <w:color w:val="000000" w:themeColor="text1"/>
          <w:sz w:val="28"/>
          <w:szCs w:val="28"/>
        </w:rPr>
        <w:footnoteReference w:id="26"/>
      </w:r>
      <w:r w:rsidR="003375F6">
        <w:rPr>
          <w:rFonts w:asciiTheme="minorHAnsi" w:hAnsiTheme="minorHAnsi"/>
          <w:color w:val="000000" w:themeColor="text1"/>
          <w:sz w:val="28"/>
          <w:szCs w:val="28"/>
        </w:rPr>
        <w:t xml:space="preserve"> in</w:t>
      </w:r>
      <w:r w:rsidR="000F3CB9">
        <w:rPr>
          <w:rFonts w:asciiTheme="minorHAnsi" w:hAnsiTheme="minorHAnsi"/>
          <w:color w:val="000000" w:themeColor="text1"/>
          <w:sz w:val="28"/>
          <w:szCs w:val="28"/>
        </w:rPr>
        <w:t xml:space="preserve"> England. </w:t>
      </w:r>
      <w:r w:rsidR="00304EEA" w:rsidRPr="00304EEA">
        <w:rPr>
          <w:rFonts w:asciiTheme="minorHAnsi" w:hAnsiTheme="minorHAnsi"/>
          <w:color w:val="000000" w:themeColor="text1"/>
          <w:sz w:val="28"/>
          <w:szCs w:val="28"/>
        </w:rPr>
        <w:t>It is</w:t>
      </w:r>
      <w:r w:rsidR="00570DA2">
        <w:rPr>
          <w:rFonts w:asciiTheme="minorHAnsi" w:hAnsiTheme="minorHAnsi"/>
          <w:color w:val="000000" w:themeColor="text1"/>
          <w:sz w:val="28"/>
          <w:szCs w:val="28"/>
        </w:rPr>
        <w:t xml:space="preserve"> viewed as</w:t>
      </w:r>
      <w:r w:rsidR="00304EEA" w:rsidRPr="00304EEA">
        <w:rPr>
          <w:rFonts w:asciiTheme="minorHAnsi" w:hAnsiTheme="minorHAnsi"/>
          <w:color w:val="000000" w:themeColor="text1"/>
          <w:sz w:val="28"/>
          <w:szCs w:val="28"/>
        </w:rPr>
        <w:t xml:space="preserve"> </w:t>
      </w:r>
      <w:r w:rsidR="00570DA2">
        <w:rPr>
          <w:rFonts w:asciiTheme="minorHAnsi" w:hAnsiTheme="minorHAnsi"/>
          <w:color w:val="000000" w:themeColor="text1"/>
          <w:sz w:val="28"/>
          <w:szCs w:val="28"/>
        </w:rPr>
        <w:t>‘</w:t>
      </w:r>
      <w:r w:rsidR="00304EEA" w:rsidRPr="00304EEA">
        <w:rPr>
          <w:rFonts w:asciiTheme="minorHAnsi" w:hAnsiTheme="minorHAnsi"/>
          <w:color w:val="000000" w:themeColor="text1"/>
          <w:sz w:val="28"/>
          <w:szCs w:val="28"/>
        </w:rPr>
        <w:t xml:space="preserve">a simple and attractive </w:t>
      </w:r>
      <w:r w:rsidR="00304EEA" w:rsidRPr="00304EEA">
        <w:rPr>
          <w:rFonts w:asciiTheme="minorHAnsi" w:hAnsiTheme="minorHAnsi"/>
          <w:color w:val="000000" w:themeColor="text1"/>
          <w:sz w:val="28"/>
          <w:szCs w:val="28"/>
        </w:rPr>
        <w:lastRenderedPageBreak/>
        <w:t>concept, offering a commissioner the opportunity to co-opt and incentivise a provider to moderate growth in healthcare demand by sharing in the savings or cost over-runs</w:t>
      </w:r>
      <w:r w:rsidR="00570DA2">
        <w:rPr>
          <w:rFonts w:asciiTheme="minorHAnsi" w:hAnsiTheme="minorHAnsi"/>
          <w:color w:val="000000" w:themeColor="text1"/>
          <w:sz w:val="28"/>
          <w:szCs w:val="28"/>
        </w:rPr>
        <w:t>’</w:t>
      </w:r>
      <w:r w:rsidR="00304EEA" w:rsidRPr="00304EEA">
        <w:rPr>
          <w:rFonts w:asciiTheme="minorHAnsi" w:hAnsiTheme="minorHAnsi"/>
          <w:color w:val="000000" w:themeColor="text1"/>
          <w:sz w:val="28"/>
          <w:szCs w:val="28"/>
        </w:rPr>
        <w:t>.</w:t>
      </w:r>
      <w:r w:rsidR="00972009" w:rsidRPr="00972009">
        <w:rPr>
          <w:rFonts w:asciiTheme="minorHAnsi" w:hAnsiTheme="minorHAnsi"/>
          <w:color w:val="000000" w:themeColor="text1"/>
          <w:sz w:val="28"/>
          <w:szCs w:val="28"/>
        </w:rPr>
        <w:t xml:space="preserve"> </w:t>
      </w:r>
      <w:r w:rsidR="003C228B" w:rsidRPr="003C228B">
        <w:rPr>
          <w:rFonts w:asciiTheme="minorHAnsi" w:hAnsiTheme="minorHAnsi"/>
          <w:color w:val="000000" w:themeColor="text1"/>
          <w:sz w:val="28"/>
          <w:szCs w:val="28"/>
        </w:rPr>
        <w:t>Commissioners might ultimately prefer to pass all the financial risk associated with cost growth to the provider by fixing the budget that providers receive. However, most providers would be</w:t>
      </w:r>
      <w:r w:rsidR="00C07F57">
        <w:rPr>
          <w:rFonts w:asciiTheme="minorHAnsi" w:hAnsiTheme="minorHAnsi"/>
          <w:color w:val="000000" w:themeColor="text1"/>
          <w:sz w:val="28"/>
          <w:szCs w:val="28"/>
        </w:rPr>
        <w:t xml:space="preserve"> </w:t>
      </w:r>
      <w:r w:rsidR="00C07F57" w:rsidRPr="00C07F57">
        <w:rPr>
          <w:rFonts w:asciiTheme="minorHAnsi" w:hAnsiTheme="minorHAnsi"/>
          <w:color w:val="000000" w:themeColor="text1"/>
          <w:sz w:val="28"/>
          <w:szCs w:val="28"/>
        </w:rPr>
        <w:t>reluctant to accept a contract with a fixed budget</w:t>
      </w:r>
      <w:r w:rsidR="0080171D">
        <w:rPr>
          <w:rFonts w:asciiTheme="minorHAnsi" w:hAnsiTheme="minorHAnsi"/>
          <w:color w:val="000000" w:themeColor="text1"/>
          <w:sz w:val="28"/>
          <w:szCs w:val="28"/>
        </w:rPr>
        <w:t>-</w:t>
      </w:r>
      <w:r w:rsidR="00C07F57" w:rsidRPr="00C07F57">
        <w:rPr>
          <w:rFonts w:asciiTheme="minorHAnsi" w:hAnsiTheme="minorHAnsi"/>
          <w:color w:val="000000" w:themeColor="text1"/>
          <w:sz w:val="28"/>
          <w:szCs w:val="28"/>
        </w:rPr>
        <w:t xml:space="preserve">at least not one that commissioners could afford. </w:t>
      </w:r>
      <w:r w:rsidR="00BB7A5E">
        <w:rPr>
          <w:rFonts w:asciiTheme="minorHAnsi" w:hAnsiTheme="minorHAnsi"/>
          <w:color w:val="000000" w:themeColor="text1"/>
          <w:sz w:val="28"/>
          <w:szCs w:val="28"/>
        </w:rPr>
        <w:t xml:space="preserve">Therefore schemes </w:t>
      </w:r>
      <w:r w:rsidR="00C07F57" w:rsidRPr="00C07F57">
        <w:rPr>
          <w:rFonts w:asciiTheme="minorHAnsi" w:hAnsiTheme="minorHAnsi"/>
          <w:color w:val="000000" w:themeColor="text1"/>
          <w:sz w:val="28"/>
          <w:szCs w:val="28"/>
        </w:rPr>
        <w:t>in which savings and losses are shared between the commissioner and provider can offer a compromis</w:t>
      </w:r>
      <w:r w:rsidR="005F48E0">
        <w:rPr>
          <w:rFonts w:asciiTheme="minorHAnsi" w:hAnsiTheme="minorHAnsi"/>
          <w:color w:val="000000" w:themeColor="text1"/>
          <w:sz w:val="28"/>
          <w:szCs w:val="28"/>
        </w:rPr>
        <w:t>e.</w:t>
      </w:r>
      <w:r w:rsidR="00E00365">
        <w:rPr>
          <w:rFonts w:asciiTheme="minorHAnsi" w:hAnsiTheme="minorHAnsi"/>
          <w:color w:val="000000" w:themeColor="text1"/>
          <w:sz w:val="28"/>
          <w:szCs w:val="28"/>
        </w:rPr>
        <w:t xml:space="preserve"> </w:t>
      </w:r>
      <w:r w:rsidR="005A60E9">
        <w:rPr>
          <w:rFonts w:asciiTheme="minorHAnsi" w:hAnsiTheme="minorHAnsi"/>
          <w:color w:val="000000" w:themeColor="text1"/>
          <w:sz w:val="28"/>
          <w:szCs w:val="28"/>
        </w:rPr>
        <w:t>Elements of risk</w:t>
      </w:r>
      <w:r w:rsidR="00095D81" w:rsidRPr="00095D81">
        <w:rPr>
          <w:rFonts w:asciiTheme="minorHAnsi" w:hAnsiTheme="minorHAnsi"/>
          <w:color w:val="000000" w:themeColor="text1"/>
          <w:sz w:val="28"/>
          <w:szCs w:val="28"/>
        </w:rPr>
        <w:t xml:space="preserve"> and reward sharing </w:t>
      </w:r>
      <w:r w:rsidR="00B8471B">
        <w:rPr>
          <w:rFonts w:asciiTheme="minorHAnsi" w:hAnsiTheme="minorHAnsi"/>
          <w:color w:val="000000" w:themeColor="text1"/>
          <w:sz w:val="28"/>
          <w:szCs w:val="28"/>
        </w:rPr>
        <w:t xml:space="preserve">has </w:t>
      </w:r>
      <w:r w:rsidR="005D7711">
        <w:rPr>
          <w:rFonts w:asciiTheme="minorHAnsi" w:hAnsiTheme="minorHAnsi"/>
          <w:color w:val="000000" w:themeColor="text1"/>
          <w:sz w:val="28"/>
          <w:szCs w:val="28"/>
        </w:rPr>
        <w:t xml:space="preserve">already </w:t>
      </w:r>
      <w:r w:rsidR="00B8471B">
        <w:rPr>
          <w:rFonts w:asciiTheme="minorHAnsi" w:hAnsiTheme="minorHAnsi"/>
          <w:color w:val="000000" w:themeColor="text1"/>
          <w:sz w:val="28"/>
          <w:szCs w:val="28"/>
        </w:rPr>
        <w:t xml:space="preserve">been used </w:t>
      </w:r>
      <w:r w:rsidR="00095D81" w:rsidRPr="00095D81">
        <w:rPr>
          <w:rFonts w:asciiTheme="minorHAnsi" w:hAnsiTheme="minorHAnsi"/>
          <w:color w:val="000000" w:themeColor="text1"/>
          <w:sz w:val="28"/>
          <w:szCs w:val="28"/>
        </w:rPr>
        <w:t>as a transition to</w:t>
      </w:r>
      <w:r w:rsidR="008756CF">
        <w:rPr>
          <w:rFonts w:asciiTheme="minorHAnsi" w:hAnsiTheme="minorHAnsi"/>
          <w:color w:val="000000" w:themeColor="text1"/>
          <w:sz w:val="28"/>
          <w:szCs w:val="28"/>
        </w:rPr>
        <w:t>wards</w:t>
      </w:r>
      <w:r w:rsidR="00095D81" w:rsidRPr="00095D81">
        <w:rPr>
          <w:rFonts w:asciiTheme="minorHAnsi" w:hAnsiTheme="minorHAnsi"/>
          <w:color w:val="000000" w:themeColor="text1"/>
          <w:sz w:val="28"/>
          <w:szCs w:val="28"/>
        </w:rPr>
        <w:t xml:space="preserve"> </w:t>
      </w:r>
      <w:r w:rsidR="008756CF">
        <w:rPr>
          <w:rFonts w:asciiTheme="minorHAnsi" w:hAnsiTheme="minorHAnsi"/>
          <w:color w:val="000000" w:themeColor="text1"/>
          <w:sz w:val="28"/>
          <w:szCs w:val="28"/>
        </w:rPr>
        <w:t xml:space="preserve">the current </w:t>
      </w:r>
      <w:r w:rsidR="00546F0E">
        <w:rPr>
          <w:rFonts w:asciiTheme="minorHAnsi" w:hAnsiTheme="minorHAnsi"/>
          <w:color w:val="000000" w:themeColor="text1"/>
          <w:sz w:val="28"/>
          <w:szCs w:val="28"/>
        </w:rPr>
        <w:t xml:space="preserve">‘API’ blended </w:t>
      </w:r>
      <w:r w:rsidR="006F6664">
        <w:rPr>
          <w:rFonts w:asciiTheme="minorHAnsi" w:hAnsiTheme="minorHAnsi"/>
          <w:color w:val="000000" w:themeColor="text1"/>
          <w:sz w:val="28"/>
          <w:szCs w:val="28"/>
        </w:rPr>
        <w:t>payment</w:t>
      </w:r>
      <w:r w:rsidR="00095D81" w:rsidRPr="00095D81">
        <w:rPr>
          <w:rFonts w:asciiTheme="minorHAnsi" w:hAnsiTheme="minorHAnsi"/>
          <w:color w:val="000000" w:themeColor="text1"/>
          <w:sz w:val="28"/>
          <w:szCs w:val="28"/>
        </w:rPr>
        <w:t xml:space="preserve"> contracts</w:t>
      </w:r>
      <w:r w:rsidR="004E78CA">
        <w:rPr>
          <w:rFonts w:asciiTheme="minorHAnsi" w:hAnsiTheme="minorHAnsi"/>
          <w:color w:val="000000" w:themeColor="text1"/>
          <w:sz w:val="28"/>
          <w:szCs w:val="28"/>
        </w:rPr>
        <w:t>-</w:t>
      </w:r>
      <w:r w:rsidR="002C1E2A">
        <w:rPr>
          <w:rFonts w:asciiTheme="minorHAnsi" w:hAnsiTheme="minorHAnsi"/>
          <w:color w:val="000000" w:themeColor="text1"/>
          <w:sz w:val="28"/>
          <w:szCs w:val="28"/>
        </w:rPr>
        <w:t xml:space="preserve"> </w:t>
      </w:r>
      <w:r w:rsidR="004E78CA">
        <w:rPr>
          <w:rFonts w:asciiTheme="minorHAnsi" w:hAnsiTheme="minorHAnsi"/>
          <w:color w:val="000000" w:themeColor="text1"/>
          <w:sz w:val="28"/>
          <w:szCs w:val="28"/>
        </w:rPr>
        <w:t>CQUINs</w:t>
      </w:r>
      <w:r w:rsidR="005D122F">
        <w:rPr>
          <w:rFonts w:asciiTheme="minorHAnsi" w:hAnsiTheme="minorHAnsi"/>
          <w:color w:val="000000" w:themeColor="text1"/>
          <w:sz w:val="28"/>
          <w:szCs w:val="28"/>
        </w:rPr>
        <w:t xml:space="preserve"> have been used in the NHS since 2009</w:t>
      </w:r>
      <w:r w:rsidR="00A630B5">
        <w:rPr>
          <w:rStyle w:val="FootnoteReference"/>
          <w:rFonts w:asciiTheme="minorHAnsi" w:hAnsiTheme="minorHAnsi"/>
          <w:color w:val="000000" w:themeColor="text1"/>
          <w:sz w:val="28"/>
          <w:szCs w:val="28"/>
        </w:rPr>
        <w:footnoteReference w:id="27"/>
      </w:r>
      <w:r w:rsidR="00095D81" w:rsidRPr="00095D81">
        <w:rPr>
          <w:rFonts w:asciiTheme="minorHAnsi" w:hAnsiTheme="minorHAnsi"/>
          <w:color w:val="000000" w:themeColor="text1"/>
          <w:sz w:val="28"/>
          <w:szCs w:val="28"/>
        </w:rPr>
        <w:t>,</w:t>
      </w:r>
      <w:r w:rsidR="00CA17B5">
        <w:rPr>
          <w:rFonts w:asciiTheme="minorHAnsi" w:hAnsiTheme="minorHAnsi"/>
          <w:color w:val="000000" w:themeColor="text1"/>
          <w:sz w:val="28"/>
          <w:szCs w:val="28"/>
        </w:rPr>
        <w:t xml:space="preserve"> and</w:t>
      </w:r>
      <w:r w:rsidR="00194DE7">
        <w:rPr>
          <w:rFonts w:asciiTheme="minorHAnsi" w:hAnsiTheme="minorHAnsi"/>
          <w:color w:val="000000" w:themeColor="text1"/>
          <w:sz w:val="28"/>
          <w:szCs w:val="28"/>
        </w:rPr>
        <w:t xml:space="preserve"> also</w:t>
      </w:r>
      <w:r w:rsidR="006C0685">
        <w:rPr>
          <w:rFonts w:asciiTheme="minorHAnsi" w:hAnsiTheme="minorHAnsi"/>
          <w:color w:val="000000" w:themeColor="text1"/>
          <w:sz w:val="28"/>
          <w:szCs w:val="28"/>
        </w:rPr>
        <w:t xml:space="preserve">, </w:t>
      </w:r>
      <w:r w:rsidR="008A1DA3">
        <w:rPr>
          <w:rFonts w:asciiTheme="minorHAnsi" w:hAnsiTheme="minorHAnsi"/>
          <w:color w:val="000000" w:themeColor="text1"/>
          <w:sz w:val="28"/>
          <w:szCs w:val="28"/>
        </w:rPr>
        <w:t>more crudely</w:t>
      </w:r>
      <w:r w:rsidR="006C0685">
        <w:rPr>
          <w:rFonts w:asciiTheme="minorHAnsi" w:hAnsiTheme="minorHAnsi"/>
          <w:color w:val="000000" w:themeColor="text1"/>
          <w:sz w:val="28"/>
          <w:szCs w:val="28"/>
        </w:rPr>
        <w:t>,</w:t>
      </w:r>
      <w:r w:rsidR="00194DE7">
        <w:rPr>
          <w:rFonts w:asciiTheme="minorHAnsi" w:hAnsiTheme="minorHAnsi"/>
          <w:color w:val="000000" w:themeColor="text1"/>
          <w:sz w:val="28"/>
          <w:szCs w:val="28"/>
        </w:rPr>
        <w:t xml:space="preserve"> </w:t>
      </w:r>
      <w:r w:rsidR="006C0685">
        <w:rPr>
          <w:rFonts w:asciiTheme="minorHAnsi" w:hAnsiTheme="minorHAnsi"/>
          <w:color w:val="000000" w:themeColor="text1"/>
          <w:sz w:val="28"/>
          <w:szCs w:val="28"/>
        </w:rPr>
        <w:t>the bonus</w:t>
      </w:r>
      <w:r w:rsidR="00154939">
        <w:rPr>
          <w:rFonts w:asciiTheme="minorHAnsi" w:hAnsiTheme="minorHAnsi"/>
          <w:color w:val="000000" w:themeColor="text1"/>
          <w:sz w:val="28"/>
          <w:szCs w:val="28"/>
        </w:rPr>
        <w:t xml:space="preserve"> payments</w:t>
      </w:r>
      <w:r w:rsidR="006E7272">
        <w:rPr>
          <w:rFonts w:asciiTheme="minorHAnsi" w:hAnsiTheme="minorHAnsi"/>
          <w:color w:val="000000" w:themeColor="text1"/>
          <w:sz w:val="28"/>
          <w:szCs w:val="28"/>
        </w:rPr>
        <w:t xml:space="preserve"> </w:t>
      </w:r>
      <w:r w:rsidR="00CA4DEF">
        <w:rPr>
          <w:rFonts w:asciiTheme="minorHAnsi" w:hAnsiTheme="minorHAnsi"/>
          <w:color w:val="000000" w:themeColor="text1"/>
          <w:sz w:val="28"/>
          <w:szCs w:val="28"/>
        </w:rPr>
        <w:t xml:space="preserve">paid </w:t>
      </w:r>
      <w:r w:rsidR="006E7272">
        <w:rPr>
          <w:rFonts w:asciiTheme="minorHAnsi" w:hAnsiTheme="minorHAnsi"/>
          <w:color w:val="000000" w:themeColor="text1"/>
          <w:sz w:val="28"/>
          <w:szCs w:val="28"/>
        </w:rPr>
        <w:t>only</w:t>
      </w:r>
      <w:r w:rsidR="00154939">
        <w:rPr>
          <w:rFonts w:asciiTheme="minorHAnsi" w:hAnsiTheme="minorHAnsi"/>
          <w:color w:val="000000" w:themeColor="text1"/>
          <w:sz w:val="28"/>
          <w:szCs w:val="28"/>
        </w:rPr>
        <w:t xml:space="preserve"> whe</w:t>
      </w:r>
      <w:r w:rsidR="00CB1875">
        <w:rPr>
          <w:rFonts w:asciiTheme="minorHAnsi" w:hAnsiTheme="minorHAnsi"/>
          <w:color w:val="000000" w:themeColor="text1"/>
          <w:sz w:val="28"/>
          <w:szCs w:val="28"/>
        </w:rPr>
        <w:t>n</w:t>
      </w:r>
      <w:r w:rsidR="00154939">
        <w:rPr>
          <w:rFonts w:asciiTheme="minorHAnsi" w:hAnsiTheme="minorHAnsi"/>
          <w:color w:val="000000" w:themeColor="text1"/>
          <w:sz w:val="28"/>
          <w:szCs w:val="28"/>
        </w:rPr>
        <w:t xml:space="preserve"> ‘</w:t>
      </w:r>
      <w:r w:rsidR="0081690E">
        <w:rPr>
          <w:rFonts w:asciiTheme="minorHAnsi" w:hAnsiTheme="minorHAnsi"/>
          <w:color w:val="000000" w:themeColor="text1"/>
          <w:sz w:val="28"/>
          <w:szCs w:val="28"/>
        </w:rPr>
        <w:t xml:space="preserve">annual </w:t>
      </w:r>
      <w:r w:rsidR="00154939">
        <w:rPr>
          <w:rFonts w:asciiTheme="minorHAnsi" w:hAnsiTheme="minorHAnsi"/>
          <w:color w:val="000000" w:themeColor="text1"/>
          <w:sz w:val="28"/>
          <w:szCs w:val="28"/>
        </w:rPr>
        <w:t>control totals</w:t>
      </w:r>
      <w:r w:rsidR="00BA2A1E">
        <w:rPr>
          <w:rFonts w:asciiTheme="minorHAnsi" w:hAnsiTheme="minorHAnsi"/>
          <w:color w:val="000000" w:themeColor="text1"/>
          <w:sz w:val="28"/>
          <w:szCs w:val="28"/>
        </w:rPr>
        <w:t>’</w:t>
      </w:r>
      <w:r w:rsidR="00154939">
        <w:rPr>
          <w:rFonts w:asciiTheme="minorHAnsi" w:hAnsiTheme="minorHAnsi"/>
          <w:color w:val="000000" w:themeColor="text1"/>
          <w:sz w:val="28"/>
          <w:szCs w:val="28"/>
        </w:rPr>
        <w:t xml:space="preserve"> have been met by </w:t>
      </w:r>
      <w:r w:rsidR="00ED7718">
        <w:rPr>
          <w:rFonts w:asciiTheme="minorHAnsi" w:hAnsiTheme="minorHAnsi"/>
          <w:color w:val="000000" w:themeColor="text1"/>
          <w:sz w:val="28"/>
          <w:szCs w:val="28"/>
        </w:rPr>
        <w:t xml:space="preserve">NHS Foundation </w:t>
      </w:r>
      <w:r w:rsidR="00F67E36">
        <w:rPr>
          <w:rFonts w:asciiTheme="minorHAnsi" w:hAnsiTheme="minorHAnsi"/>
          <w:color w:val="000000" w:themeColor="text1"/>
          <w:sz w:val="28"/>
          <w:szCs w:val="28"/>
        </w:rPr>
        <w:t>Trusts.</w:t>
      </w:r>
      <w:r w:rsidR="0067175B">
        <w:rPr>
          <w:rStyle w:val="FootnoteReference"/>
          <w:rFonts w:asciiTheme="minorHAnsi" w:hAnsiTheme="minorHAnsi"/>
          <w:color w:val="000000" w:themeColor="text1"/>
          <w:sz w:val="28"/>
          <w:szCs w:val="28"/>
        </w:rPr>
        <w:footnoteReference w:id="28"/>
      </w:r>
      <w:r w:rsidR="004B07D9">
        <w:rPr>
          <w:rFonts w:asciiTheme="minorHAnsi" w:hAnsiTheme="minorHAnsi"/>
          <w:color w:val="000000" w:themeColor="text1"/>
          <w:sz w:val="28"/>
          <w:szCs w:val="28"/>
          <w:vertAlign w:val="superscript"/>
        </w:rPr>
        <w:t>,</w:t>
      </w:r>
      <w:r w:rsidR="004B07D9">
        <w:rPr>
          <w:rStyle w:val="FootnoteReference"/>
          <w:rFonts w:asciiTheme="minorHAnsi" w:hAnsiTheme="minorHAnsi"/>
          <w:color w:val="000000" w:themeColor="text1"/>
          <w:sz w:val="28"/>
          <w:szCs w:val="28"/>
        </w:rPr>
        <w:footnoteReference w:id="29"/>
      </w:r>
      <w:r w:rsidR="00CA17B5">
        <w:rPr>
          <w:rFonts w:asciiTheme="minorHAnsi" w:hAnsiTheme="minorHAnsi"/>
          <w:color w:val="000000" w:themeColor="text1"/>
          <w:sz w:val="28"/>
          <w:szCs w:val="28"/>
        </w:rPr>
        <w:t xml:space="preserve"> </w:t>
      </w:r>
      <w:r w:rsidR="00F67E36">
        <w:rPr>
          <w:rFonts w:asciiTheme="minorHAnsi" w:hAnsiTheme="minorHAnsi"/>
          <w:color w:val="000000" w:themeColor="text1"/>
          <w:sz w:val="28"/>
          <w:szCs w:val="28"/>
        </w:rPr>
        <w:t>Both</w:t>
      </w:r>
      <w:r w:rsidR="006D5129">
        <w:rPr>
          <w:rFonts w:asciiTheme="minorHAnsi" w:hAnsiTheme="minorHAnsi"/>
          <w:color w:val="000000" w:themeColor="text1"/>
          <w:sz w:val="28"/>
          <w:szCs w:val="28"/>
        </w:rPr>
        <w:t xml:space="preserve"> </w:t>
      </w:r>
      <w:r w:rsidR="00F67E36">
        <w:rPr>
          <w:rFonts w:asciiTheme="minorHAnsi" w:hAnsiTheme="minorHAnsi"/>
          <w:color w:val="000000" w:themeColor="text1"/>
          <w:sz w:val="28"/>
          <w:szCs w:val="28"/>
        </w:rPr>
        <w:t>have</w:t>
      </w:r>
      <w:r w:rsidR="00F1725E">
        <w:rPr>
          <w:rFonts w:asciiTheme="minorHAnsi" w:hAnsiTheme="minorHAnsi"/>
          <w:color w:val="000000" w:themeColor="text1"/>
          <w:sz w:val="28"/>
          <w:szCs w:val="28"/>
        </w:rPr>
        <w:t xml:space="preserve"> been used </w:t>
      </w:r>
      <w:r w:rsidR="0047766C">
        <w:rPr>
          <w:rFonts w:asciiTheme="minorHAnsi" w:hAnsiTheme="minorHAnsi"/>
          <w:color w:val="000000" w:themeColor="text1"/>
          <w:sz w:val="28"/>
          <w:szCs w:val="28"/>
        </w:rPr>
        <w:t>t</w:t>
      </w:r>
      <w:r w:rsidR="00280A07">
        <w:rPr>
          <w:rFonts w:asciiTheme="minorHAnsi" w:hAnsiTheme="minorHAnsi"/>
          <w:color w:val="000000" w:themeColor="text1"/>
          <w:sz w:val="28"/>
          <w:szCs w:val="28"/>
        </w:rPr>
        <w:t>o shape</w:t>
      </w:r>
      <w:r w:rsidR="006768C1">
        <w:rPr>
          <w:rFonts w:asciiTheme="minorHAnsi" w:hAnsiTheme="minorHAnsi"/>
          <w:color w:val="000000" w:themeColor="text1"/>
          <w:sz w:val="28"/>
          <w:szCs w:val="28"/>
        </w:rPr>
        <w:t xml:space="preserve"> service development </w:t>
      </w:r>
      <w:r w:rsidR="00E12348">
        <w:rPr>
          <w:rFonts w:asciiTheme="minorHAnsi" w:hAnsiTheme="minorHAnsi"/>
          <w:color w:val="000000" w:themeColor="text1"/>
          <w:sz w:val="28"/>
          <w:szCs w:val="28"/>
        </w:rPr>
        <w:t>towards</w:t>
      </w:r>
      <w:r w:rsidR="00095D81" w:rsidRPr="00095D81">
        <w:rPr>
          <w:rFonts w:asciiTheme="minorHAnsi" w:hAnsiTheme="minorHAnsi"/>
          <w:color w:val="000000" w:themeColor="text1"/>
          <w:sz w:val="28"/>
          <w:szCs w:val="28"/>
        </w:rPr>
        <w:t xml:space="preserve"> </w:t>
      </w:r>
      <w:r w:rsidR="001A48A4">
        <w:rPr>
          <w:rFonts w:asciiTheme="minorHAnsi" w:hAnsiTheme="minorHAnsi"/>
          <w:color w:val="000000" w:themeColor="text1"/>
          <w:sz w:val="28"/>
          <w:szCs w:val="28"/>
        </w:rPr>
        <w:t xml:space="preserve">the conceived </w:t>
      </w:r>
      <w:r w:rsidR="00280A07">
        <w:rPr>
          <w:rFonts w:asciiTheme="minorHAnsi" w:hAnsiTheme="minorHAnsi"/>
          <w:color w:val="000000" w:themeColor="text1"/>
          <w:sz w:val="28"/>
          <w:szCs w:val="28"/>
        </w:rPr>
        <w:t>‘</w:t>
      </w:r>
      <w:r w:rsidR="00566382">
        <w:rPr>
          <w:rFonts w:asciiTheme="minorHAnsi" w:hAnsiTheme="minorHAnsi"/>
          <w:color w:val="000000" w:themeColor="text1"/>
          <w:sz w:val="28"/>
          <w:szCs w:val="28"/>
        </w:rPr>
        <w:t>transformation</w:t>
      </w:r>
      <w:r w:rsidR="00280A07">
        <w:rPr>
          <w:rFonts w:asciiTheme="minorHAnsi" w:hAnsiTheme="minorHAnsi"/>
          <w:color w:val="000000" w:themeColor="text1"/>
          <w:sz w:val="28"/>
          <w:szCs w:val="28"/>
        </w:rPr>
        <w:t>’</w:t>
      </w:r>
      <w:r w:rsidR="004E598F">
        <w:rPr>
          <w:rFonts w:asciiTheme="minorHAnsi" w:hAnsiTheme="minorHAnsi"/>
          <w:color w:val="000000" w:themeColor="text1"/>
          <w:sz w:val="28"/>
          <w:szCs w:val="28"/>
        </w:rPr>
        <w:t xml:space="preserve"> </w:t>
      </w:r>
      <w:r w:rsidR="00ED3A46">
        <w:rPr>
          <w:rFonts w:asciiTheme="minorHAnsi" w:hAnsiTheme="minorHAnsi"/>
          <w:color w:val="000000" w:themeColor="text1"/>
          <w:sz w:val="28"/>
          <w:szCs w:val="28"/>
        </w:rPr>
        <w:t>part of ‘Sustainable Transformation Plans’</w:t>
      </w:r>
      <w:r w:rsidR="00105159">
        <w:rPr>
          <w:rFonts w:asciiTheme="minorHAnsi" w:hAnsiTheme="minorHAnsi"/>
          <w:color w:val="000000" w:themeColor="text1"/>
          <w:sz w:val="28"/>
          <w:szCs w:val="28"/>
        </w:rPr>
        <w:t xml:space="preserve"> i.e. to lay the ground for Accountable Care.</w:t>
      </w:r>
    </w:p>
    <w:p w14:paraId="0C0D452B" w14:textId="7242091C" w:rsidR="003254B0" w:rsidRPr="00594888" w:rsidRDefault="00FC7019" w:rsidP="00594888">
      <w:pPr>
        <w:pStyle w:val="NormalWeb"/>
        <w:shd w:val="clear" w:color="auto" w:fill="FFFFFF"/>
        <w:ind w:left="720"/>
        <w:rPr>
          <w:rFonts w:asciiTheme="minorHAnsi" w:hAnsiTheme="minorHAnsi"/>
          <w:color w:val="000000" w:themeColor="text1"/>
          <w:sz w:val="28"/>
          <w:szCs w:val="28"/>
        </w:rPr>
      </w:pPr>
      <w:r>
        <w:rPr>
          <w:rFonts w:asciiTheme="minorHAnsi" w:hAnsiTheme="minorHAnsi"/>
          <w:color w:val="000000" w:themeColor="text1"/>
          <w:sz w:val="28"/>
          <w:szCs w:val="28"/>
        </w:rPr>
        <w:t>With the</w:t>
      </w:r>
      <w:r w:rsidR="00421EFB">
        <w:rPr>
          <w:rFonts w:asciiTheme="minorHAnsi" w:hAnsiTheme="minorHAnsi"/>
          <w:color w:val="000000" w:themeColor="text1"/>
          <w:sz w:val="28"/>
          <w:szCs w:val="28"/>
        </w:rPr>
        <w:t>se</w:t>
      </w:r>
      <w:r>
        <w:rPr>
          <w:rFonts w:asciiTheme="minorHAnsi" w:hAnsiTheme="minorHAnsi"/>
          <w:color w:val="000000" w:themeColor="text1"/>
          <w:sz w:val="28"/>
          <w:szCs w:val="28"/>
        </w:rPr>
        <w:t xml:space="preserve"> </w:t>
      </w:r>
      <w:r w:rsidR="008A16E1">
        <w:rPr>
          <w:rFonts w:asciiTheme="minorHAnsi" w:hAnsiTheme="minorHAnsi"/>
          <w:color w:val="000000" w:themeColor="text1"/>
          <w:sz w:val="28"/>
          <w:szCs w:val="28"/>
        </w:rPr>
        <w:t xml:space="preserve">profound </w:t>
      </w:r>
      <w:r>
        <w:rPr>
          <w:rFonts w:asciiTheme="minorHAnsi" w:hAnsiTheme="minorHAnsi"/>
          <w:color w:val="000000" w:themeColor="text1"/>
          <w:sz w:val="28"/>
          <w:szCs w:val="28"/>
        </w:rPr>
        <w:t xml:space="preserve">changes in our healthcare system </w:t>
      </w:r>
      <w:r w:rsidR="00016573">
        <w:rPr>
          <w:rFonts w:asciiTheme="minorHAnsi" w:hAnsiTheme="minorHAnsi"/>
          <w:color w:val="000000" w:themeColor="text1"/>
          <w:sz w:val="28"/>
          <w:szCs w:val="28"/>
        </w:rPr>
        <w:t>it is</w:t>
      </w:r>
      <w:r w:rsidR="00D1187C">
        <w:rPr>
          <w:rFonts w:asciiTheme="minorHAnsi" w:hAnsiTheme="minorHAnsi"/>
          <w:color w:val="000000" w:themeColor="text1"/>
          <w:sz w:val="28"/>
          <w:szCs w:val="28"/>
        </w:rPr>
        <w:t xml:space="preserve"> necessary</w:t>
      </w:r>
      <w:r w:rsidR="00016573">
        <w:rPr>
          <w:rFonts w:asciiTheme="minorHAnsi" w:hAnsiTheme="minorHAnsi"/>
          <w:color w:val="000000" w:themeColor="text1"/>
          <w:sz w:val="28"/>
          <w:szCs w:val="28"/>
        </w:rPr>
        <w:t xml:space="preserve"> </w:t>
      </w:r>
      <w:r w:rsidR="00144625">
        <w:rPr>
          <w:rFonts w:asciiTheme="minorHAnsi" w:hAnsiTheme="minorHAnsi"/>
          <w:color w:val="000000" w:themeColor="text1"/>
          <w:sz w:val="28"/>
          <w:szCs w:val="28"/>
        </w:rPr>
        <w:t>understand</w:t>
      </w:r>
      <w:r w:rsidR="00016573">
        <w:rPr>
          <w:rFonts w:asciiTheme="minorHAnsi" w:hAnsiTheme="minorHAnsi"/>
          <w:color w:val="000000" w:themeColor="text1"/>
          <w:sz w:val="28"/>
          <w:szCs w:val="28"/>
        </w:rPr>
        <w:t xml:space="preserve"> that</w:t>
      </w:r>
      <w:r w:rsidR="008C4D3E">
        <w:rPr>
          <w:rFonts w:asciiTheme="minorHAnsi" w:hAnsiTheme="minorHAnsi"/>
          <w:color w:val="000000" w:themeColor="text1"/>
          <w:sz w:val="28"/>
          <w:szCs w:val="28"/>
        </w:rPr>
        <w:t>,</w:t>
      </w:r>
      <w:r w:rsidR="00016573">
        <w:rPr>
          <w:rFonts w:asciiTheme="minorHAnsi" w:hAnsiTheme="minorHAnsi"/>
          <w:color w:val="000000" w:themeColor="text1"/>
          <w:sz w:val="28"/>
          <w:szCs w:val="28"/>
        </w:rPr>
        <w:t xml:space="preserve"> </w:t>
      </w:r>
      <w:r w:rsidR="008967A2">
        <w:rPr>
          <w:rFonts w:asciiTheme="minorHAnsi" w:hAnsiTheme="minorHAnsi"/>
          <w:color w:val="000000" w:themeColor="text1"/>
          <w:sz w:val="28"/>
          <w:szCs w:val="28"/>
        </w:rPr>
        <w:t>f</w:t>
      </w:r>
      <w:r w:rsidR="002E28E0">
        <w:rPr>
          <w:rFonts w:asciiTheme="minorHAnsi" w:hAnsiTheme="minorHAnsi"/>
          <w:color w:val="000000" w:themeColor="text1"/>
          <w:sz w:val="28"/>
          <w:szCs w:val="28"/>
        </w:rPr>
        <w:t>rom a</w:t>
      </w:r>
      <w:r w:rsidR="008967A2">
        <w:rPr>
          <w:rFonts w:asciiTheme="minorHAnsi" w:hAnsiTheme="minorHAnsi"/>
          <w:color w:val="000000" w:themeColor="text1"/>
          <w:sz w:val="28"/>
          <w:szCs w:val="28"/>
        </w:rPr>
        <w:t xml:space="preserve"> financial</w:t>
      </w:r>
      <w:r w:rsidR="002E28E0">
        <w:rPr>
          <w:rFonts w:asciiTheme="minorHAnsi" w:hAnsiTheme="minorHAnsi"/>
          <w:color w:val="000000" w:themeColor="text1"/>
          <w:sz w:val="28"/>
          <w:szCs w:val="28"/>
        </w:rPr>
        <w:t xml:space="preserve"> point of view</w:t>
      </w:r>
      <w:r w:rsidR="008C4D3E">
        <w:rPr>
          <w:rFonts w:asciiTheme="minorHAnsi" w:hAnsiTheme="minorHAnsi"/>
          <w:color w:val="000000" w:themeColor="text1"/>
          <w:sz w:val="28"/>
          <w:szCs w:val="28"/>
        </w:rPr>
        <w:t>,</w:t>
      </w:r>
      <w:r w:rsidR="008967A2">
        <w:rPr>
          <w:rFonts w:asciiTheme="minorHAnsi" w:hAnsiTheme="minorHAnsi"/>
          <w:color w:val="000000" w:themeColor="text1"/>
          <w:sz w:val="28"/>
          <w:szCs w:val="28"/>
        </w:rPr>
        <w:t xml:space="preserve"> </w:t>
      </w:r>
      <w:r w:rsidR="00016573">
        <w:rPr>
          <w:rFonts w:asciiTheme="minorHAnsi" w:hAnsiTheme="minorHAnsi"/>
          <w:color w:val="000000" w:themeColor="text1"/>
          <w:sz w:val="28"/>
          <w:szCs w:val="28"/>
        </w:rPr>
        <w:t>the</w:t>
      </w:r>
      <w:r w:rsidR="00972009" w:rsidRPr="00972009">
        <w:rPr>
          <w:rFonts w:asciiTheme="minorHAnsi" w:hAnsiTheme="minorHAnsi"/>
          <w:color w:val="000000" w:themeColor="text1"/>
          <w:sz w:val="28"/>
          <w:szCs w:val="28"/>
        </w:rPr>
        <w:t xml:space="preserve"> notion of a ‘counterfactual’ is central to </w:t>
      </w:r>
      <w:r w:rsidR="00AD4800">
        <w:rPr>
          <w:rFonts w:asciiTheme="minorHAnsi" w:hAnsiTheme="minorHAnsi"/>
          <w:color w:val="000000" w:themeColor="text1"/>
          <w:sz w:val="28"/>
          <w:szCs w:val="28"/>
        </w:rPr>
        <w:t>any</w:t>
      </w:r>
      <w:r w:rsidR="00843ECF">
        <w:rPr>
          <w:rFonts w:asciiTheme="minorHAnsi" w:hAnsiTheme="minorHAnsi"/>
          <w:color w:val="000000" w:themeColor="text1"/>
          <w:sz w:val="28"/>
          <w:szCs w:val="28"/>
        </w:rPr>
        <w:t xml:space="preserve"> assessment as to whether or not </w:t>
      </w:r>
      <w:r w:rsidR="00DA17CD">
        <w:rPr>
          <w:rFonts w:asciiTheme="minorHAnsi" w:hAnsiTheme="minorHAnsi"/>
          <w:color w:val="000000" w:themeColor="text1"/>
          <w:sz w:val="28"/>
          <w:szCs w:val="28"/>
        </w:rPr>
        <w:t xml:space="preserve">the </w:t>
      </w:r>
      <w:r w:rsidR="0027531F">
        <w:rPr>
          <w:rFonts w:asciiTheme="minorHAnsi" w:hAnsiTheme="minorHAnsi"/>
          <w:color w:val="000000" w:themeColor="text1"/>
          <w:sz w:val="28"/>
          <w:szCs w:val="28"/>
        </w:rPr>
        <w:t xml:space="preserve">structural </w:t>
      </w:r>
      <w:r w:rsidR="00AD4800">
        <w:rPr>
          <w:rFonts w:asciiTheme="minorHAnsi" w:hAnsiTheme="minorHAnsi"/>
          <w:color w:val="000000" w:themeColor="text1"/>
          <w:sz w:val="28"/>
          <w:szCs w:val="28"/>
        </w:rPr>
        <w:t xml:space="preserve">changes </w:t>
      </w:r>
      <w:r w:rsidR="0027531F">
        <w:rPr>
          <w:rFonts w:asciiTheme="minorHAnsi" w:hAnsiTheme="minorHAnsi"/>
          <w:color w:val="000000" w:themeColor="text1"/>
          <w:sz w:val="28"/>
          <w:szCs w:val="28"/>
        </w:rPr>
        <w:t xml:space="preserve">and </w:t>
      </w:r>
      <w:r w:rsidR="00AD4800">
        <w:rPr>
          <w:rFonts w:asciiTheme="minorHAnsi" w:hAnsiTheme="minorHAnsi"/>
          <w:color w:val="000000" w:themeColor="text1"/>
          <w:sz w:val="28"/>
          <w:szCs w:val="28"/>
        </w:rPr>
        <w:t xml:space="preserve">new </w:t>
      </w:r>
      <w:r w:rsidR="0027531F">
        <w:rPr>
          <w:rFonts w:asciiTheme="minorHAnsi" w:hAnsiTheme="minorHAnsi"/>
          <w:color w:val="000000" w:themeColor="text1"/>
          <w:sz w:val="28"/>
          <w:szCs w:val="28"/>
        </w:rPr>
        <w:t>payment systems</w:t>
      </w:r>
      <w:r w:rsidR="00AD4800">
        <w:rPr>
          <w:rFonts w:asciiTheme="minorHAnsi" w:hAnsiTheme="minorHAnsi"/>
          <w:color w:val="000000" w:themeColor="text1"/>
          <w:sz w:val="28"/>
          <w:szCs w:val="28"/>
        </w:rPr>
        <w:t>-</w:t>
      </w:r>
      <w:r w:rsidR="0027531F">
        <w:rPr>
          <w:rFonts w:asciiTheme="minorHAnsi" w:hAnsiTheme="minorHAnsi"/>
          <w:color w:val="000000" w:themeColor="text1"/>
          <w:sz w:val="28"/>
          <w:szCs w:val="28"/>
        </w:rPr>
        <w:t xml:space="preserve"> including </w:t>
      </w:r>
      <w:r w:rsidR="00972009" w:rsidRPr="00972009">
        <w:rPr>
          <w:rFonts w:asciiTheme="minorHAnsi" w:hAnsiTheme="minorHAnsi"/>
          <w:color w:val="000000" w:themeColor="text1"/>
          <w:sz w:val="28"/>
          <w:szCs w:val="28"/>
        </w:rPr>
        <w:t>risk-reward sharing</w:t>
      </w:r>
      <w:r w:rsidR="006B4E10">
        <w:rPr>
          <w:rFonts w:asciiTheme="minorHAnsi" w:hAnsiTheme="minorHAnsi"/>
          <w:color w:val="000000" w:themeColor="text1"/>
          <w:sz w:val="28"/>
          <w:szCs w:val="28"/>
        </w:rPr>
        <w:t>-</w:t>
      </w:r>
      <w:r w:rsidR="00B856A5">
        <w:rPr>
          <w:rFonts w:asciiTheme="minorHAnsi" w:hAnsiTheme="minorHAnsi"/>
          <w:color w:val="000000" w:themeColor="text1"/>
          <w:sz w:val="28"/>
          <w:szCs w:val="28"/>
        </w:rPr>
        <w:t xml:space="preserve"> </w:t>
      </w:r>
      <w:r w:rsidR="00DA17CD">
        <w:rPr>
          <w:rFonts w:asciiTheme="minorHAnsi" w:hAnsiTheme="minorHAnsi"/>
          <w:color w:val="000000" w:themeColor="text1"/>
          <w:sz w:val="28"/>
          <w:szCs w:val="28"/>
        </w:rPr>
        <w:t>have brought</w:t>
      </w:r>
      <w:r w:rsidR="006B4E10">
        <w:rPr>
          <w:rFonts w:asciiTheme="minorHAnsi" w:hAnsiTheme="minorHAnsi"/>
          <w:color w:val="000000" w:themeColor="text1"/>
          <w:sz w:val="28"/>
          <w:szCs w:val="28"/>
        </w:rPr>
        <w:t xml:space="preserve"> real</w:t>
      </w:r>
      <w:r w:rsidR="00875144">
        <w:rPr>
          <w:rFonts w:asciiTheme="minorHAnsi" w:hAnsiTheme="minorHAnsi"/>
          <w:color w:val="000000" w:themeColor="text1"/>
          <w:sz w:val="28"/>
          <w:szCs w:val="28"/>
        </w:rPr>
        <w:t xml:space="preserve"> </w:t>
      </w:r>
      <w:r w:rsidR="00CF6530">
        <w:rPr>
          <w:rFonts w:asciiTheme="minorHAnsi" w:hAnsiTheme="minorHAnsi"/>
          <w:color w:val="000000" w:themeColor="text1"/>
          <w:sz w:val="28"/>
          <w:szCs w:val="28"/>
        </w:rPr>
        <w:t>‘</w:t>
      </w:r>
      <w:r w:rsidR="00875144">
        <w:rPr>
          <w:rFonts w:asciiTheme="minorHAnsi" w:hAnsiTheme="minorHAnsi"/>
          <w:color w:val="000000" w:themeColor="text1"/>
          <w:sz w:val="28"/>
          <w:szCs w:val="28"/>
        </w:rPr>
        <w:t>sustainability</w:t>
      </w:r>
      <w:r w:rsidR="00CF6530">
        <w:rPr>
          <w:rFonts w:asciiTheme="minorHAnsi" w:hAnsiTheme="minorHAnsi"/>
          <w:color w:val="000000" w:themeColor="text1"/>
          <w:sz w:val="28"/>
          <w:szCs w:val="28"/>
        </w:rPr>
        <w:t>’</w:t>
      </w:r>
      <w:r w:rsidR="00875144">
        <w:rPr>
          <w:rFonts w:asciiTheme="minorHAnsi" w:hAnsiTheme="minorHAnsi"/>
          <w:color w:val="000000" w:themeColor="text1"/>
          <w:sz w:val="28"/>
          <w:szCs w:val="28"/>
        </w:rPr>
        <w:t xml:space="preserve"> </w:t>
      </w:r>
      <w:r w:rsidR="004476FD">
        <w:rPr>
          <w:rFonts w:asciiTheme="minorHAnsi" w:hAnsiTheme="minorHAnsi"/>
          <w:color w:val="000000" w:themeColor="text1"/>
          <w:sz w:val="28"/>
          <w:szCs w:val="28"/>
        </w:rPr>
        <w:t xml:space="preserve">to a system </w:t>
      </w:r>
      <w:r w:rsidR="00875144">
        <w:rPr>
          <w:rFonts w:asciiTheme="minorHAnsi" w:hAnsiTheme="minorHAnsi"/>
          <w:color w:val="000000" w:themeColor="text1"/>
          <w:sz w:val="28"/>
          <w:szCs w:val="28"/>
        </w:rPr>
        <w:t>as opposed</w:t>
      </w:r>
      <w:r w:rsidR="008C4D3E">
        <w:rPr>
          <w:rFonts w:asciiTheme="minorHAnsi" w:hAnsiTheme="minorHAnsi"/>
          <w:color w:val="000000" w:themeColor="text1"/>
          <w:sz w:val="28"/>
          <w:szCs w:val="28"/>
        </w:rPr>
        <w:t xml:space="preserve"> </w:t>
      </w:r>
      <w:r w:rsidR="00875144">
        <w:rPr>
          <w:rFonts w:asciiTheme="minorHAnsi" w:hAnsiTheme="minorHAnsi"/>
          <w:color w:val="000000" w:themeColor="text1"/>
          <w:sz w:val="28"/>
          <w:szCs w:val="28"/>
        </w:rPr>
        <w:t xml:space="preserve"> </w:t>
      </w:r>
      <w:r w:rsidR="00A4102B">
        <w:rPr>
          <w:rFonts w:asciiTheme="minorHAnsi" w:hAnsiTheme="minorHAnsi"/>
          <w:color w:val="000000" w:themeColor="text1"/>
          <w:sz w:val="28"/>
          <w:szCs w:val="28"/>
        </w:rPr>
        <w:t>to</w:t>
      </w:r>
      <w:r w:rsidR="004A6118">
        <w:rPr>
          <w:rFonts w:asciiTheme="minorHAnsi" w:hAnsiTheme="minorHAnsi"/>
          <w:color w:val="000000" w:themeColor="text1"/>
          <w:sz w:val="28"/>
          <w:szCs w:val="28"/>
        </w:rPr>
        <w:t xml:space="preserve"> reducing costs</w:t>
      </w:r>
      <w:r w:rsidR="00A4102B">
        <w:rPr>
          <w:rFonts w:asciiTheme="minorHAnsi" w:hAnsiTheme="minorHAnsi"/>
          <w:color w:val="000000" w:themeColor="text1"/>
          <w:sz w:val="28"/>
          <w:szCs w:val="28"/>
        </w:rPr>
        <w:t xml:space="preserve"> </w:t>
      </w:r>
      <w:r w:rsidR="008112B4">
        <w:rPr>
          <w:rFonts w:asciiTheme="minorHAnsi" w:hAnsiTheme="minorHAnsi"/>
          <w:color w:val="000000" w:themeColor="text1"/>
          <w:sz w:val="28"/>
          <w:szCs w:val="28"/>
        </w:rPr>
        <w:t xml:space="preserve">by </w:t>
      </w:r>
      <w:r w:rsidR="004A6118">
        <w:rPr>
          <w:rFonts w:asciiTheme="minorHAnsi" w:hAnsiTheme="minorHAnsi"/>
          <w:color w:val="000000" w:themeColor="text1"/>
          <w:sz w:val="28"/>
          <w:szCs w:val="28"/>
        </w:rPr>
        <w:t xml:space="preserve">simply </w:t>
      </w:r>
      <w:r w:rsidR="00875144">
        <w:rPr>
          <w:rFonts w:asciiTheme="minorHAnsi" w:hAnsiTheme="minorHAnsi"/>
          <w:color w:val="000000" w:themeColor="text1"/>
          <w:sz w:val="28"/>
          <w:szCs w:val="28"/>
        </w:rPr>
        <w:t xml:space="preserve">doing </w:t>
      </w:r>
      <w:proofErr w:type="gramStart"/>
      <w:r w:rsidR="00875144">
        <w:rPr>
          <w:rFonts w:asciiTheme="minorHAnsi" w:hAnsiTheme="minorHAnsi"/>
          <w:color w:val="000000" w:themeColor="text1"/>
          <w:sz w:val="28"/>
          <w:szCs w:val="28"/>
        </w:rPr>
        <w:t>less</w:t>
      </w:r>
      <w:r w:rsidR="009C0E4F">
        <w:rPr>
          <w:rFonts w:asciiTheme="minorHAnsi" w:hAnsiTheme="minorHAnsi"/>
          <w:color w:val="000000" w:themeColor="text1"/>
          <w:sz w:val="28"/>
          <w:szCs w:val="28"/>
        </w:rPr>
        <w:t>,</w:t>
      </w:r>
      <w:r w:rsidR="00875144">
        <w:rPr>
          <w:rFonts w:asciiTheme="minorHAnsi" w:hAnsiTheme="minorHAnsi"/>
          <w:color w:val="000000" w:themeColor="text1"/>
          <w:sz w:val="28"/>
          <w:szCs w:val="28"/>
        </w:rPr>
        <w:t xml:space="preserve"> or</w:t>
      </w:r>
      <w:proofErr w:type="gramEnd"/>
      <w:r w:rsidR="00875144">
        <w:rPr>
          <w:rFonts w:asciiTheme="minorHAnsi" w:hAnsiTheme="minorHAnsi"/>
          <w:color w:val="000000" w:themeColor="text1"/>
          <w:sz w:val="28"/>
          <w:szCs w:val="28"/>
        </w:rPr>
        <w:t xml:space="preserve"> </w:t>
      </w:r>
      <w:r w:rsidR="007210F4">
        <w:rPr>
          <w:rFonts w:asciiTheme="minorHAnsi" w:hAnsiTheme="minorHAnsi"/>
          <w:color w:val="000000" w:themeColor="text1"/>
          <w:sz w:val="28"/>
          <w:szCs w:val="28"/>
        </w:rPr>
        <w:t>reducing quality</w:t>
      </w:r>
      <w:r w:rsidR="00972009" w:rsidRPr="00972009">
        <w:rPr>
          <w:rFonts w:asciiTheme="minorHAnsi" w:hAnsiTheme="minorHAnsi"/>
          <w:color w:val="000000" w:themeColor="text1"/>
          <w:sz w:val="28"/>
          <w:szCs w:val="28"/>
        </w:rPr>
        <w:t xml:space="preserve">. In this context a </w:t>
      </w:r>
      <w:r w:rsidR="00B856A5">
        <w:rPr>
          <w:rFonts w:asciiTheme="minorHAnsi" w:hAnsiTheme="minorHAnsi"/>
          <w:color w:val="000000" w:themeColor="text1"/>
          <w:sz w:val="28"/>
          <w:szCs w:val="28"/>
        </w:rPr>
        <w:t>‘</w:t>
      </w:r>
      <w:r w:rsidR="00972009" w:rsidRPr="00972009">
        <w:rPr>
          <w:rFonts w:asciiTheme="minorHAnsi" w:hAnsiTheme="minorHAnsi"/>
          <w:color w:val="000000" w:themeColor="text1"/>
          <w:sz w:val="28"/>
          <w:szCs w:val="28"/>
        </w:rPr>
        <w:t>counterfactual</w:t>
      </w:r>
      <w:r w:rsidR="00B856A5">
        <w:rPr>
          <w:rFonts w:asciiTheme="minorHAnsi" w:hAnsiTheme="minorHAnsi"/>
          <w:color w:val="000000" w:themeColor="text1"/>
          <w:sz w:val="28"/>
          <w:szCs w:val="28"/>
        </w:rPr>
        <w:t>’</w:t>
      </w:r>
      <w:r w:rsidR="00972009" w:rsidRPr="00972009">
        <w:rPr>
          <w:rFonts w:asciiTheme="minorHAnsi" w:hAnsiTheme="minorHAnsi"/>
          <w:color w:val="000000" w:themeColor="text1"/>
          <w:sz w:val="28"/>
          <w:szCs w:val="28"/>
        </w:rPr>
        <w:t xml:space="preserve"> is the price of healthcare activity that m</w:t>
      </w:r>
      <w:r w:rsidR="008506A6">
        <w:rPr>
          <w:rFonts w:asciiTheme="minorHAnsi" w:hAnsiTheme="minorHAnsi"/>
          <w:color w:val="000000" w:themeColor="text1"/>
          <w:sz w:val="28"/>
          <w:szCs w:val="28"/>
        </w:rPr>
        <w:t>ay</w:t>
      </w:r>
      <w:r w:rsidR="00972009" w:rsidRPr="00972009">
        <w:rPr>
          <w:rFonts w:asciiTheme="minorHAnsi" w:hAnsiTheme="minorHAnsi"/>
          <w:color w:val="000000" w:themeColor="text1"/>
          <w:sz w:val="28"/>
          <w:szCs w:val="28"/>
        </w:rPr>
        <w:t xml:space="preserve"> be expected under normal circumstances</w:t>
      </w:r>
      <w:r w:rsidR="00530091">
        <w:rPr>
          <w:rFonts w:asciiTheme="minorHAnsi" w:hAnsiTheme="minorHAnsi"/>
          <w:color w:val="000000" w:themeColor="text1"/>
          <w:sz w:val="28"/>
          <w:szCs w:val="28"/>
        </w:rPr>
        <w:t xml:space="preserve">- it </w:t>
      </w:r>
      <w:r w:rsidR="00972009" w:rsidRPr="00972009">
        <w:rPr>
          <w:rFonts w:asciiTheme="minorHAnsi" w:hAnsiTheme="minorHAnsi"/>
          <w:color w:val="000000" w:themeColor="text1"/>
          <w:sz w:val="28"/>
          <w:szCs w:val="28"/>
        </w:rPr>
        <w:t xml:space="preserve">is the </w:t>
      </w:r>
      <w:r w:rsidR="00AA1546">
        <w:rPr>
          <w:rFonts w:asciiTheme="minorHAnsi" w:hAnsiTheme="minorHAnsi"/>
          <w:color w:val="000000" w:themeColor="text1"/>
          <w:sz w:val="28"/>
          <w:szCs w:val="28"/>
        </w:rPr>
        <w:t>‘</w:t>
      </w:r>
      <w:r w:rsidR="00972009" w:rsidRPr="00972009">
        <w:rPr>
          <w:rFonts w:asciiTheme="minorHAnsi" w:hAnsiTheme="minorHAnsi"/>
          <w:color w:val="000000" w:themeColor="text1"/>
          <w:sz w:val="28"/>
          <w:szCs w:val="28"/>
        </w:rPr>
        <w:t>benchmark</w:t>
      </w:r>
      <w:r w:rsidR="00AA1546">
        <w:rPr>
          <w:rFonts w:asciiTheme="minorHAnsi" w:hAnsiTheme="minorHAnsi"/>
          <w:color w:val="000000" w:themeColor="text1"/>
          <w:sz w:val="28"/>
          <w:szCs w:val="28"/>
        </w:rPr>
        <w:t>’</w:t>
      </w:r>
      <w:r w:rsidR="00972009" w:rsidRPr="00972009">
        <w:rPr>
          <w:rFonts w:asciiTheme="minorHAnsi" w:hAnsiTheme="minorHAnsi"/>
          <w:color w:val="000000" w:themeColor="text1"/>
          <w:sz w:val="28"/>
          <w:szCs w:val="28"/>
        </w:rPr>
        <w:t xml:space="preserve"> against which priced activity levels are assessed at year end. If priced activity falls below this level, then the provider may be entitled to a reward payment. If it exceeds this level, then a penalty may be applied. There are many approaches to calculating and agreeing</w:t>
      </w:r>
      <w:r w:rsidR="004D16F2">
        <w:rPr>
          <w:rFonts w:asciiTheme="minorHAnsi" w:hAnsiTheme="minorHAnsi"/>
          <w:color w:val="000000" w:themeColor="text1"/>
          <w:sz w:val="28"/>
          <w:szCs w:val="28"/>
        </w:rPr>
        <w:t xml:space="preserve"> </w:t>
      </w:r>
      <w:r w:rsidR="00F363DE">
        <w:rPr>
          <w:rFonts w:asciiTheme="minorHAnsi" w:hAnsiTheme="minorHAnsi"/>
          <w:color w:val="000000" w:themeColor="text1"/>
          <w:sz w:val="28"/>
          <w:szCs w:val="28"/>
        </w:rPr>
        <w:t>‘</w:t>
      </w:r>
      <w:r w:rsidR="00972009" w:rsidRPr="004D16F2">
        <w:rPr>
          <w:rFonts w:asciiTheme="minorHAnsi" w:hAnsiTheme="minorHAnsi"/>
          <w:color w:val="000000" w:themeColor="text1"/>
          <w:sz w:val="28"/>
          <w:szCs w:val="28"/>
        </w:rPr>
        <w:t>counterfactuals</w:t>
      </w:r>
      <w:r w:rsidR="00F363DE">
        <w:rPr>
          <w:rFonts w:asciiTheme="minorHAnsi" w:hAnsiTheme="minorHAnsi"/>
          <w:color w:val="000000" w:themeColor="text1"/>
          <w:sz w:val="28"/>
          <w:szCs w:val="28"/>
        </w:rPr>
        <w:t>’</w:t>
      </w:r>
      <w:r w:rsidR="00972009" w:rsidRPr="004D16F2">
        <w:rPr>
          <w:rFonts w:asciiTheme="minorHAnsi" w:hAnsiTheme="minorHAnsi"/>
          <w:color w:val="000000" w:themeColor="text1"/>
          <w:sz w:val="28"/>
          <w:szCs w:val="28"/>
        </w:rPr>
        <w:t xml:space="preserve">, but none </w:t>
      </w:r>
      <w:r w:rsidR="004D16F2">
        <w:rPr>
          <w:rFonts w:asciiTheme="minorHAnsi" w:hAnsiTheme="minorHAnsi"/>
          <w:color w:val="000000" w:themeColor="text1"/>
          <w:sz w:val="28"/>
          <w:szCs w:val="28"/>
        </w:rPr>
        <w:t>is</w:t>
      </w:r>
      <w:r w:rsidR="00972009" w:rsidRPr="004D16F2">
        <w:rPr>
          <w:rFonts w:asciiTheme="minorHAnsi" w:hAnsiTheme="minorHAnsi"/>
          <w:color w:val="000000" w:themeColor="text1"/>
          <w:sz w:val="28"/>
          <w:szCs w:val="28"/>
        </w:rPr>
        <w:t xml:space="preserve"> simple</w:t>
      </w:r>
      <w:r w:rsidR="00706FF0">
        <w:rPr>
          <w:rFonts w:asciiTheme="minorHAnsi" w:hAnsiTheme="minorHAnsi"/>
          <w:color w:val="000000" w:themeColor="text1"/>
          <w:sz w:val="28"/>
          <w:szCs w:val="28"/>
        </w:rPr>
        <w:t>, and these</w:t>
      </w:r>
      <w:r w:rsidR="00972009" w:rsidRPr="004D16F2">
        <w:rPr>
          <w:rFonts w:asciiTheme="minorHAnsi" w:hAnsiTheme="minorHAnsi"/>
          <w:color w:val="000000" w:themeColor="text1"/>
          <w:sz w:val="28"/>
          <w:szCs w:val="28"/>
        </w:rPr>
        <w:t xml:space="preserve"> calculations determine the allocation of </w:t>
      </w:r>
      <w:r w:rsidR="00E85ACE">
        <w:rPr>
          <w:rFonts w:asciiTheme="minorHAnsi" w:hAnsiTheme="minorHAnsi"/>
          <w:color w:val="000000" w:themeColor="text1"/>
          <w:sz w:val="28"/>
          <w:szCs w:val="28"/>
        </w:rPr>
        <w:t xml:space="preserve">enormous </w:t>
      </w:r>
      <w:r w:rsidR="00972009" w:rsidRPr="004D16F2">
        <w:rPr>
          <w:rFonts w:asciiTheme="minorHAnsi" w:hAnsiTheme="minorHAnsi"/>
          <w:color w:val="000000" w:themeColor="text1"/>
          <w:sz w:val="28"/>
          <w:szCs w:val="28"/>
        </w:rPr>
        <w:t>sums of money</w:t>
      </w:r>
      <w:r w:rsidR="00656684">
        <w:rPr>
          <w:rFonts w:asciiTheme="minorHAnsi" w:hAnsiTheme="minorHAnsi"/>
          <w:color w:val="000000" w:themeColor="text1"/>
          <w:sz w:val="28"/>
          <w:szCs w:val="28"/>
        </w:rPr>
        <w:t>,</w:t>
      </w:r>
      <w:r w:rsidR="00774689">
        <w:rPr>
          <w:rFonts w:asciiTheme="minorHAnsi" w:hAnsiTheme="minorHAnsi"/>
          <w:color w:val="000000" w:themeColor="text1"/>
          <w:sz w:val="28"/>
          <w:szCs w:val="28"/>
        </w:rPr>
        <w:t xml:space="preserve"> and can</w:t>
      </w:r>
      <w:r w:rsidR="00D5086E">
        <w:rPr>
          <w:rFonts w:asciiTheme="minorHAnsi" w:hAnsiTheme="minorHAnsi"/>
          <w:color w:val="000000" w:themeColor="text1"/>
          <w:sz w:val="28"/>
          <w:szCs w:val="28"/>
        </w:rPr>
        <w:t xml:space="preserve"> </w:t>
      </w:r>
      <w:proofErr w:type="gramStart"/>
      <w:r w:rsidR="00043792">
        <w:rPr>
          <w:rFonts w:asciiTheme="minorHAnsi" w:hAnsiTheme="minorHAnsi"/>
          <w:color w:val="000000" w:themeColor="text1"/>
          <w:sz w:val="28"/>
          <w:szCs w:val="28"/>
        </w:rPr>
        <w:t>some</w:t>
      </w:r>
      <w:r w:rsidR="00D5086E">
        <w:rPr>
          <w:rFonts w:asciiTheme="minorHAnsi" w:hAnsiTheme="minorHAnsi"/>
          <w:color w:val="000000" w:themeColor="text1"/>
          <w:sz w:val="28"/>
          <w:szCs w:val="28"/>
        </w:rPr>
        <w:t xml:space="preserve"> ti</w:t>
      </w:r>
      <w:r w:rsidR="000A0B0E">
        <w:rPr>
          <w:rFonts w:asciiTheme="minorHAnsi" w:hAnsiTheme="minorHAnsi"/>
          <w:color w:val="000000" w:themeColor="text1"/>
          <w:sz w:val="28"/>
          <w:szCs w:val="28"/>
        </w:rPr>
        <w:t>mes</w:t>
      </w:r>
      <w:proofErr w:type="gramEnd"/>
      <w:r w:rsidR="000A0B0E">
        <w:rPr>
          <w:rFonts w:asciiTheme="minorHAnsi" w:hAnsiTheme="minorHAnsi"/>
          <w:color w:val="000000" w:themeColor="text1"/>
          <w:sz w:val="28"/>
          <w:szCs w:val="28"/>
        </w:rPr>
        <w:t xml:space="preserve"> </w:t>
      </w:r>
      <w:r w:rsidR="0029361F">
        <w:rPr>
          <w:rFonts w:asciiTheme="minorHAnsi" w:hAnsiTheme="minorHAnsi"/>
          <w:color w:val="000000" w:themeColor="text1"/>
          <w:sz w:val="28"/>
          <w:szCs w:val="28"/>
        </w:rPr>
        <w:t xml:space="preserve">represent </w:t>
      </w:r>
      <w:r w:rsidR="009450F0">
        <w:rPr>
          <w:rFonts w:asciiTheme="minorHAnsi" w:hAnsiTheme="minorHAnsi"/>
          <w:color w:val="000000" w:themeColor="text1"/>
          <w:sz w:val="28"/>
          <w:szCs w:val="28"/>
        </w:rPr>
        <w:t xml:space="preserve">quite different </w:t>
      </w:r>
      <w:r w:rsidR="0029361F">
        <w:rPr>
          <w:rFonts w:asciiTheme="minorHAnsi" w:hAnsiTheme="minorHAnsi"/>
          <w:color w:val="000000" w:themeColor="text1"/>
          <w:sz w:val="28"/>
          <w:szCs w:val="28"/>
        </w:rPr>
        <w:t>things entirely</w:t>
      </w:r>
      <w:r w:rsidR="00687F9F">
        <w:rPr>
          <w:rFonts w:asciiTheme="minorHAnsi" w:hAnsiTheme="minorHAnsi"/>
          <w:color w:val="000000" w:themeColor="text1"/>
          <w:sz w:val="28"/>
          <w:szCs w:val="28"/>
        </w:rPr>
        <w:t xml:space="preserve">. </w:t>
      </w:r>
      <w:r w:rsidR="003A2661">
        <w:rPr>
          <w:rFonts w:asciiTheme="minorHAnsi" w:hAnsiTheme="minorHAnsi"/>
          <w:color w:val="000000" w:themeColor="text1"/>
          <w:sz w:val="28"/>
          <w:szCs w:val="28"/>
        </w:rPr>
        <w:t xml:space="preserve">For instance in </w:t>
      </w:r>
      <w:r w:rsidR="00594888">
        <w:rPr>
          <w:rFonts w:asciiTheme="minorHAnsi" w:hAnsiTheme="minorHAnsi"/>
          <w:color w:val="000000" w:themeColor="text1"/>
          <w:sz w:val="28"/>
          <w:szCs w:val="28"/>
        </w:rPr>
        <w:t xml:space="preserve">the US </w:t>
      </w:r>
      <w:r w:rsidR="0050344A">
        <w:rPr>
          <w:rFonts w:asciiTheme="minorHAnsi" w:hAnsiTheme="minorHAnsi"/>
          <w:color w:val="000000" w:themeColor="text1"/>
          <w:sz w:val="28"/>
          <w:szCs w:val="28"/>
        </w:rPr>
        <w:t xml:space="preserve">ACO </w:t>
      </w:r>
      <w:r w:rsidR="00C9346F">
        <w:rPr>
          <w:rFonts w:asciiTheme="minorHAnsi" w:hAnsiTheme="minorHAnsi"/>
          <w:color w:val="000000" w:themeColor="text1"/>
          <w:sz w:val="28"/>
          <w:szCs w:val="28"/>
        </w:rPr>
        <w:t>Medicare Shared Savings Program</w:t>
      </w:r>
      <w:r w:rsidR="00C7048E">
        <w:rPr>
          <w:rFonts w:asciiTheme="minorHAnsi" w:hAnsiTheme="minorHAnsi"/>
          <w:color w:val="000000" w:themeColor="text1"/>
          <w:sz w:val="28"/>
          <w:szCs w:val="28"/>
        </w:rPr>
        <w:t>me</w:t>
      </w:r>
      <w:r w:rsidR="00C9346F">
        <w:rPr>
          <w:rFonts w:asciiTheme="minorHAnsi" w:hAnsiTheme="minorHAnsi"/>
          <w:color w:val="000000" w:themeColor="text1"/>
          <w:sz w:val="28"/>
          <w:szCs w:val="28"/>
        </w:rPr>
        <w:t xml:space="preserve"> </w:t>
      </w:r>
      <w:r w:rsidR="0050344A">
        <w:rPr>
          <w:rFonts w:asciiTheme="minorHAnsi" w:hAnsiTheme="minorHAnsi"/>
          <w:color w:val="000000" w:themeColor="text1"/>
          <w:sz w:val="28"/>
          <w:szCs w:val="28"/>
        </w:rPr>
        <w:t xml:space="preserve">(MSSP) </w:t>
      </w:r>
      <w:r w:rsidR="00A831C0">
        <w:rPr>
          <w:rFonts w:asciiTheme="minorHAnsi" w:hAnsiTheme="minorHAnsi"/>
          <w:color w:val="000000" w:themeColor="text1"/>
          <w:sz w:val="28"/>
          <w:szCs w:val="28"/>
        </w:rPr>
        <w:t>after 4 years</w:t>
      </w:r>
      <w:r w:rsidR="00E91BEC">
        <w:rPr>
          <w:rFonts w:asciiTheme="minorHAnsi" w:hAnsiTheme="minorHAnsi"/>
          <w:color w:val="000000" w:themeColor="text1"/>
          <w:sz w:val="28"/>
          <w:szCs w:val="28"/>
        </w:rPr>
        <w:t xml:space="preserve">, </w:t>
      </w:r>
      <w:r w:rsidR="001026E9">
        <w:rPr>
          <w:rFonts w:asciiTheme="minorHAnsi" w:hAnsiTheme="minorHAnsi"/>
          <w:color w:val="000000" w:themeColor="text1"/>
          <w:sz w:val="28"/>
          <w:szCs w:val="28"/>
        </w:rPr>
        <w:t>there were as many ‘winners’ as ‘losers’ a</w:t>
      </w:r>
      <w:r w:rsidR="00C7048E">
        <w:rPr>
          <w:rFonts w:asciiTheme="minorHAnsi" w:hAnsiTheme="minorHAnsi"/>
          <w:color w:val="000000" w:themeColor="text1"/>
          <w:sz w:val="28"/>
          <w:szCs w:val="28"/>
        </w:rPr>
        <w:t>mong</w:t>
      </w:r>
      <w:r w:rsidR="001026E9">
        <w:rPr>
          <w:rFonts w:asciiTheme="minorHAnsi" w:hAnsiTheme="minorHAnsi"/>
          <w:color w:val="000000" w:themeColor="text1"/>
          <w:sz w:val="28"/>
          <w:szCs w:val="28"/>
        </w:rPr>
        <w:t xml:space="preserve"> </w:t>
      </w:r>
      <w:r w:rsidR="00A831C0">
        <w:rPr>
          <w:rFonts w:asciiTheme="minorHAnsi" w:hAnsiTheme="minorHAnsi"/>
          <w:color w:val="000000" w:themeColor="text1"/>
          <w:sz w:val="28"/>
          <w:szCs w:val="28"/>
        </w:rPr>
        <w:t xml:space="preserve">the </w:t>
      </w:r>
      <w:r w:rsidR="00E67696">
        <w:rPr>
          <w:rFonts w:asciiTheme="minorHAnsi" w:hAnsiTheme="minorHAnsi"/>
          <w:color w:val="000000" w:themeColor="text1"/>
          <w:sz w:val="28"/>
          <w:szCs w:val="28"/>
        </w:rPr>
        <w:t xml:space="preserve">‘systems’ </w:t>
      </w:r>
      <w:r w:rsidR="00C7048E">
        <w:rPr>
          <w:rFonts w:asciiTheme="minorHAnsi" w:hAnsiTheme="minorHAnsi"/>
          <w:color w:val="000000" w:themeColor="text1"/>
          <w:sz w:val="28"/>
          <w:szCs w:val="28"/>
        </w:rPr>
        <w:t xml:space="preserve">and those </w:t>
      </w:r>
      <w:r w:rsidR="00E67696">
        <w:rPr>
          <w:rFonts w:asciiTheme="minorHAnsi" w:hAnsiTheme="minorHAnsi"/>
          <w:color w:val="000000" w:themeColor="text1"/>
          <w:sz w:val="28"/>
          <w:szCs w:val="28"/>
        </w:rPr>
        <w:t xml:space="preserve">that saved money </w:t>
      </w:r>
      <w:r w:rsidR="006A49B8">
        <w:rPr>
          <w:rFonts w:asciiTheme="minorHAnsi" w:hAnsiTheme="minorHAnsi"/>
          <w:color w:val="000000" w:themeColor="text1"/>
          <w:sz w:val="28"/>
          <w:szCs w:val="28"/>
        </w:rPr>
        <w:t xml:space="preserve">had higher ‘benchmarks’ to start </w:t>
      </w:r>
      <w:r w:rsidR="007103F0">
        <w:rPr>
          <w:rFonts w:asciiTheme="minorHAnsi" w:hAnsiTheme="minorHAnsi"/>
          <w:color w:val="000000" w:themeColor="text1"/>
          <w:sz w:val="28"/>
          <w:szCs w:val="28"/>
        </w:rPr>
        <w:t xml:space="preserve">with </w:t>
      </w:r>
      <w:r w:rsidR="00A44D4C">
        <w:rPr>
          <w:rFonts w:asciiTheme="minorHAnsi" w:hAnsiTheme="minorHAnsi"/>
          <w:color w:val="000000" w:themeColor="text1"/>
          <w:sz w:val="28"/>
          <w:szCs w:val="28"/>
        </w:rPr>
        <w:t>while</w:t>
      </w:r>
      <w:r w:rsidR="00A23E36">
        <w:rPr>
          <w:rFonts w:asciiTheme="minorHAnsi" w:hAnsiTheme="minorHAnsi"/>
          <w:color w:val="000000" w:themeColor="text1"/>
          <w:sz w:val="28"/>
          <w:szCs w:val="28"/>
        </w:rPr>
        <w:t xml:space="preserve"> </w:t>
      </w:r>
      <w:r w:rsidR="00451DE0">
        <w:rPr>
          <w:rFonts w:asciiTheme="minorHAnsi" w:hAnsiTheme="minorHAnsi"/>
          <w:color w:val="000000" w:themeColor="text1"/>
          <w:sz w:val="28"/>
          <w:szCs w:val="28"/>
        </w:rPr>
        <w:t xml:space="preserve">they spent </w:t>
      </w:r>
      <w:r w:rsidR="00A23E36">
        <w:rPr>
          <w:rFonts w:asciiTheme="minorHAnsi" w:hAnsiTheme="minorHAnsi"/>
          <w:color w:val="000000" w:themeColor="text1"/>
          <w:sz w:val="28"/>
          <w:szCs w:val="28"/>
        </w:rPr>
        <w:t>more</w:t>
      </w:r>
      <w:r w:rsidR="006753A7">
        <w:rPr>
          <w:rFonts w:asciiTheme="minorHAnsi" w:hAnsiTheme="minorHAnsi"/>
          <w:color w:val="000000" w:themeColor="text1"/>
          <w:sz w:val="28"/>
          <w:szCs w:val="28"/>
        </w:rPr>
        <w:t xml:space="preserve"> dollars</w:t>
      </w:r>
      <w:r w:rsidR="00A23E36">
        <w:rPr>
          <w:rFonts w:asciiTheme="minorHAnsi" w:hAnsiTheme="minorHAnsi"/>
          <w:color w:val="000000" w:themeColor="text1"/>
          <w:sz w:val="28"/>
          <w:szCs w:val="28"/>
        </w:rPr>
        <w:t xml:space="preserve"> per patient</w:t>
      </w:r>
      <w:r w:rsidR="00A94E53">
        <w:rPr>
          <w:rFonts w:asciiTheme="minorHAnsi" w:hAnsiTheme="minorHAnsi"/>
          <w:color w:val="000000" w:themeColor="text1"/>
          <w:sz w:val="28"/>
          <w:szCs w:val="28"/>
        </w:rPr>
        <w:t>, and</w:t>
      </w:r>
      <w:r w:rsidR="002635E0">
        <w:rPr>
          <w:rFonts w:asciiTheme="minorHAnsi" w:hAnsiTheme="minorHAnsi"/>
          <w:color w:val="000000" w:themeColor="text1"/>
          <w:sz w:val="28"/>
          <w:szCs w:val="28"/>
        </w:rPr>
        <w:t xml:space="preserve"> after ‘bonuses’ the state </w:t>
      </w:r>
      <w:r w:rsidR="00595D77">
        <w:rPr>
          <w:rFonts w:asciiTheme="minorHAnsi" w:hAnsiTheme="minorHAnsi"/>
          <w:color w:val="000000" w:themeColor="text1"/>
          <w:sz w:val="28"/>
          <w:szCs w:val="28"/>
        </w:rPr>
        <w:t>still lost</w:t>
      </w:r>
      <w:r w:rsidR="00AF5217">
        <w:rPr>
          <w:rFonts w:asciiTheme="minorHAnsi" w:hAnsiTheme="minorHAnsi"/>
          <w:color w:val="000000" w:themeColor="text1"/>
          <w:sz w:val="28"/>
          <w:szCs w:val="28"/>
        </w:rPr>
        <w:t xml:space="preserve"> $216 million </w:t>
      </w:r>
      <w:r w:rsidR="008970D5">
        <w:rPr>
          <w:rFonts w:asciiTheme="minorHAnsi" w:hAnsiTheme="minorHAnsi"/>
          <w:color w:val="000000" w:themeColor="text1"/>
          <w:sz w:val="28"/>
          <w:szCs w:val="28"/>
        </w:rPr>
        <w:t xml:space="preserve">plus the running costs </w:t>
      </w:r>
      <w:r w:rsidR="008970D5">
        <w:rPr>
          <w:rFonts w:asciiTheme="minorHAnsi" w:hAnsiTheme="minorHAnsi"/>
          <w:color w:val="000000" w:themeColor="text1"/>
          <w:sz w:val="28"/>
          <w:szCs w:val="28"/>
        </w:rPr>
        <w:lastRenderedPageBreak/>
        <w:t>of the programme</w:t>
      </w:r>
      <w:r w:rsidR="00595D77">
        <w:rPr>
          <w:rFonts w:asciiTheme="minorHAnsi" w:hAnsiTheme="minorHAnsi"/>
          <w:color w:val="000000" w:themeColor="text1"/>
          <w:sz w:val="28"/>
          <w:szCs w:val="28"/>
        </w:rPr>
        <w:t xml:space="preserve"> (this was </w:t>
      </w:r>
      <w:r w:rsidR="006128AB">
        <w:rPr>
          <w:rFonts w:asciiTheme="minorHAnsi" w:hAnsiTheme="minorHAnsi"/>
          <w:color w:val="000000" w:themeColor="text1"/>
          <w:sz w:val="28"/>
          <w:szCs w:val="28"/>
        </w:rPr>
        <w:t xml:space="preserve">all </w:t>
      </w:r>
      <w:r w:rsidR="00687F9F">
        <w:rPr>
          <w:rFonts w:asciiTheme="minorHAnsi" w:hAnsiTheme="minorHAnsi"/>
          <w:color w:val="000000" w:themeColor="text1"/>
          <w:sz w:val="28"/>
          <w:szCs w:val="28"/>
        </w:rPr>
        <w:t>presented</w:t>
      </w:r>
      <w:r w:rsidR="00896072">
        <w:rPr>
          <w:rFonts w:asciiTheme="minorHAnsi" w:hAnsiTheme="minorHAnsi"/>
          <w:color w:val="000000" w:themeColor="text1"/>
          <w:sz w:val="28"/>
          <w:szCs w:val="28"/>
        </w:rPr>
        <w:t xml:space="preserve"> </w:t>
      </w:r>
      <w:r w:rsidR="00595D77">
        <w:rPr>
          <w:rFonts w:asciiTheme="minorHAnsi" w:hAnsiTheme="minorHAnsi"/>
          <w:color w:val="000000" w:themeColor="text1"/>
          <w:sz w:val="28"/>
          <w:szCs w:val="28"/>
        </w:rPr>
        <w:t xml:space="preserve">in the </w:t>
      </w:r>
      <w:r w:rsidR="00E90A22">
        <w:rPr>
          <w:rFonts w:asciiTheme="minorHAnsi" w:hAnsiTheme="minorHAnsi"/>
          <w:color w:val="000000" w:themeColor="text1"/>
          <w:sz w:val="28"/>
          <w:szCs w:val="28"/>
        </w:rPr>
        <w:t>media</w:t>
      </w:r>
      <w:r w:rsidR="00595D77">
        <w:rPr>
          <w:rFonts w:asciiTheme="minorHAnsi" w:hAnsiTheme="minorHAnsi"/>
          <w:color w:val="000000" w:themeColor="text1"/>
          <w:sz w:val="28"/>
          <w:szCs w:val="28"/>
        </w:rPr>
        <w:t xml:space="preserve"> as a </w:t>
      </w:r>
      <w:r w:rsidR="00846743">
        <w:rPr>
          <w:rFonts w:asciiTheme="minorHAnsi" w:hAnsiTheme="minorHAnsi"/>
          <w:color w:val="000000" w:themeColor="text1"/>
          <w:sz w:val="28"/>
          <w:szCs w:val="28"/>
        </w:rPr>
        <w:t>$1 billion dollar saving</w:t>
      </w:r>
      <w:r w:rsidR="002F3DC5">
        <w:rPr>
          <w:rFonts w:asciiTheme="minorHAnsi" w:hAnsiTheme="minorHAnsi"/>
          <w:color w:val="000000" w:themeColor="text1"/>
          <w:sz w:val="28"/>
          <w:szCs w:val="28"/>
        </w:rPr>
        <w:t xml:space="preserve"> with physicians changing care</w:t>
      </w:r>
      <w:r w:rsidR="00846743">
        <w:rPr>
          <w:rFonts w:asciiTheme="minorHAnsi" w:hAnsiTheme="minorHAnsi"/>
          <w:color w:val="000000" w:themeColor="text1"/>
          <w:sz w:val="28"/>
          <w:szCs w:val="28"/>
        </w:rPr>
        <w:t>)</w:t>
      </w:r>
      <w:r w:rsidR="00687F9F">
        <w:rPr>
          <w:rStyle w:val="FootnoteReference"/>
          <w:rFonts w:asciiTheme="minorHAnsi" w:hAnsiTheme="minorHAnsi"/>
          <w:color w:val="000000" w:themeColor="text1"/>
          <w:sz w:val="28"/>
          <w:szCs w:val="28"/>
        </w:rPr>
        <w:footnoteReference w:id="30"/>
      </w:r>
      <w:r w:rsidR="00687F9F">
        <w:rPr>
          <w:rFonts w:asciiTheme="minorHAnsi" w:hAnsiTheme="minorHAnsi"/>
          <w:color w:val="000000" w:themeColor="text1"/>
          <w:sz w:val="28"/>
          <w:szCs w:val="28"/>
        </w:rPr>
        <w:t>.</w:t>
      </w:r>
    </w:p>
    <w:p w14:paraId="6055B6F6" w14:textId="77777777" w:rsidR="00AF6003" w:rsidRPr="00A66689" w:rsidRDefault="00AF6003" w:rsidP="00A66689">
      <w:pPr>
        <w:pStyle w:val="NormalWeb"/>
        <w:shd w:val="clear" w:color="auto" w:fill="FFFFFF"/>
        <w:rPr>
          <w:rFonts w:asciiTheme="minorHAnsi" w:hAnsiTheme="minorHAnsi"/>
          <w:b/>
          <w:bCs/>
          <w:color w:val="000000" w:themeColor="text1"/>
          <w:sz w:val="28"/>
          <w:szCs w:val="28"/>
        </w:rPr>
      </w:pPr>
      <w:r w:rsidRPr="00A66689">
        <w:rPr>
          <w:rFonts w:asciiTheme="minorHAnsi" w:hAnsiTheme="minorHAnsi"/>
          <w:b/>
          <w:bCs/>
          <w:color w:val="000000" w:themeColor="text1"/>
          <w:sz w:val="28"/>
          <w:szCs w:val="28"/>
        </w:rPr>
        <w:t>The future</w:t>
      </w:r>
      <w:r w:rsidR="00A66689">
        <w:rPr>
          <w:rFonts w:asciiTheme="minorHAnsi" w:hAnsiTheme="minorHAnsi"/>
          <w:b/>
          <w:bCs/>
          <w:color w:val="000000" w:themeColor="text1"/>
          <w:sz w:val="28"/>
          <w:szCs w:val="28"/>
        </w:rPr>
        <w:t xml:space="preserve"> of payment systems</w:t>
      </w:r>
    </w:p>
    <w:p w14:paraId="5358E1B8" w14:textId="38875AE6" w:rsidR="005E752E" w:rsidRDefault="00E40A95" w:rsidP="004C239F">
      <w:pPr>
        <w:ind w:left="720"/>
        <w:rPr>
          <w:sz w:val="28"/>
          <w:szCs w:val="28"/>
        </w:rPr>
      </w:pPr>
      <w:r w:rsidRPr="00603D43">
        <w:rPr>
          <w:sz w:val="28"/>
          <w:szCs w:val="28"/>
        </w:rPr>
        <w:t xml:space="preserve">In the future there </w:t>
      </w:r>
      <w:r w:rsidR="00EF2D87">
        <w:rPr>
          <w:sz w:val="28"/>
          <w:szCs w:val="28"/>
        </w:rPr>
        <w:t xml:space="preserve">may </w:t>
      </w:r>
      <w:r w:rsidRPr="00603D43">
        <w:rPr>
          <w:sz w:val="28"/>
          <w:szCs w:val="28"/>
        </w:rPr>
        <w:t>be moves towards greater autonomy for systems with fewer detailed rules about payments and</w:t>
      </w:r>
      <w:r w:rsidR="00AF5622">
        <w:rPr>
          <w:sz w:val="28"/>
          <w:szCs w:val="28"/>
        </w:rPr>
        <w:t>,</w:t>
      </w:r>
      <w:r w:rsidRPr="00603D43">
        <w:rPr>
          <w:sz w:val="28"/>
          <w:szCs w:val="28"/>
        </w:rPr>
        <w:t xml:space="preserve"> </w:t>
      </w:r>
      <w:r w:rsidR="0027627F" w:rsidRPr="00603D43">
        <w:rPr>
          <w:sz w:val="28"/>
          <w:szCs w:val="28"/>
        </w:rPr>
        <w:t>instead</w:t>
      </w:r>
      <w:r w:rsidR="00AF5622">
        <w:rPr>
          <w:sz w:val="28"/>
          <w:szCs w:val="28"/>
        </w:rPr>
        <w:t>,</w:t>
      </w:r>
      <w:r w:rsidR="0027627F" w:rsidRPr="00603D43">
        <w:rPr>
          <w:sz w:val="28"/>
          <w:szCs w:val="28"/>
        </w:rPr>
        <w:t xml:space="preserve"> </w:t>
      </w:r>
      <w:r w:rsidRPr="00603D43">
        <w:rPr>
          <w:sz w:val="28"/>
          <w:szCs w:val="28"/>
        </w:rPr>
        <w:t xml:space="preserve">more supportive guidance </w:t>
      </w:r>
      <w:r w:rsidR="00766E5C">
        <w:rPr>
          <w:sz w:val="28"/>
          <w:szCs w:val="28"/>
        </w:rPr>
        <w:t>describing</w:t>
      </w:r>
      <w:r w:rsidRPr="00603D43">
        <w:rPr>
          <w:sz w:val="28"/>
          <w:szCs w:val="28"/>
        </w:rPr>
        <w:t xml:space="preserve"> the default approach and a</w:t>
      </w:r>
      <w:r w:rsidR="00EF45C7" w:rsidRPr="00603D43">
        <w:rPr>
          <w:sz w:val="28"/>
          <w:szCs w:val="28"/>
        </w:rPr>
        <w:t>cceptable</w:t>
      </w:r>
      <w:r w:rsidRPr="00603D43">
        <w:rPr>
          <w:sz w:val="28"/>
          <w:szCs w:val="28"/>
        </w:rPr>
        <w:t xml:space="preserve"> variations, with case studies of successful implementation</w:t>
      </w:r>
      <w:r w:rsidR="006E052B">
        <w:rPr>
          <w:sz w:val="28"/>
          <w:szCs w:val="28"/>
        </w:rPr>
        <w:t xml:space="preserve">. There will be </w:t>
      </w:r>
      <w:r w:rsidRPr="00603D43">
        <w:rPr>
          <w:sz w:val="28"/>
          <w:szCs w:val="28"/>
        </w:rPr>
        <w:t>less of a role for published prices, but more for ‘products’</w:t>
      </w:r>
      <w:r w:rsidR="0062735E">
        <w:rPr>
          <w:sz w:val="28"/>
          <w:szCs w:val="28"/>
        </w:rPr>
        <w:t xml:space="preserve"> (algorithms)</w:t>
      </w:r>
      <w:r w:rsidRPr="00603D43">
        <w:rPr>
          <w:sz w:val="28"/>
          <w:szCs w:val="28"/>
        </w:rPr>
        <w:t xml:space="preserve"> developed to support </w:t>
      </w:r>
      <w:r w:rsidR="00FA547A" w:rsidRPr="00603D43">
        <w:rPr>
          <w:sz w:val="28"/>
          <w:szCs w:val="28"/>
        </w:rPr>
        <w:t xml:space="preserve">the setting of the </w:t>
      </w:r>
      <w:r w:rsidRPr="00603D43">
        <w:rPr>
          <w:sz w:val="28"/>
          <w:szCs w:val="28"/>
        </w:rPr>
        <w:t>fixed element</w:t>
      </w:r>
      <w:r w:rsidR="006958A1">
        <w:rPr>
          <w:rStyle w:val="FootnoteReference"/>
          <w:sz w:val="28"/>
          <w:szCs w:val="28"/>
        </w:rPr>
        <w:footnoteReference w:id="31"/>
      </w:r>
      <w:r w:rsidR="00FA547A" w:rsidRPr="00603D43">
        <w:rPr>
          <w:sz w:val="28"/>
          <w:szCs w:val="28"/>
        </w:rPr>
        <w:t>.</w:t>
      </w:r>
      <w:r w:rsidR="00E07278" w:rsidRPr="00603D43">
        <w:rPr>
          <w:sz w:val="28"/>
          <w:szCs w:val="28"/>
        </w:rPr>
        <w:t xml:space="preserve"> </w:t>
      </w:r>
      <w:r w:rsidR="00093801" w:rsidRPr="00603D43">
        <w:rPr>
          <w:sz w:val="28"/>
          <w:szCs w:val="28"/>
        </w:rPr>
        <w:t xml:space="preserve">The systems will also legally be able to generate income </w:t>
      </w:r>
      <w:r w:rsidR="006D673B">
        <w:rPr>
          <w:sz w:val="28"/>
          <w:szCs w:val="28"/>
        </w:rPr>
        <w:t xml:space="preserve">and </w:t>
      </w:r>
      <w:r w:rsidR="00093801" w:rsidRPr="0042029F">
        <w:rPr>
          <w:color w:val="000000" w:themeColor="text1"/>
          <w:sz w:val="28"/>
          <w:szCs w:val="28"/>
        </w:rPr>
        <w:t>leverage investments to further ‘</w:t>
      </w:r>
      <w:r w:rsidR="0042029F">
        <w:rPr>
          <w:color w:val="000000" w:themeColor="text1"/>
          <w:sz w:val="28"/>
          <w:szCs w:val="28"/>
        </w:rPr>
        <w:t>quality’</w:t>
      </w:r>
      <w:r w:rsidR="00093801" w:rsidRPr="0042029F">
        <w:rPr>
          <w:color w:val="000000" w:themeColor="text1"/>
          <w:sz w:val="28"/>
          <w:szCs w:val="28"/>
        </w:rPr>
        <w:t xml:space="preserve"> care.</w:t>
      </w:r>
      <w:r w:rsidR="00553E35">
        <w:rPr>
          <w:sz w:val="28"/>
          <w:szCs w:val="28"/>
        </w:rPr>
        <w:t xml:space="preserve"> </w:t>
      </w:r>
      <w:r w:rsidR="00361E6D">
        <w:rPr>
          <w:sz w:val="28"/>
          <w:szCs w:val="28"/>
        </w:rPr>
        <w:t xml:space="preserve"> </w:t>
      </w:r>
      <w:r w:rsidR="00E07278" w:rsidRPr="00603D43">
        <w:rPr>
          <w:sz w:val="28"/>
          <w:szCs w:val="28"/>
        </w:rPr>
        <w:t xml:space="preserve">What this means is that the </w:t>
      </w:r>
      <w:r w:rsidR="006C3BF4">
        <w:rPr>
          <w:sz w:val="28"/>
          <w:szCs w:val="28"/>
        </w:rPr>
        <w:t xml:space="preserve">responsibility for </w:t>
      </w:r>
      <w:proofErr w:type="gramStart"/>
      <w:r w:rsidR="006C3BF4">
        <w:rPr>
          <w:sz w:val="28"/>
          <w:szCs w:val="28"/>
        </w:rPr>
        <w:t xml:space="preserve">the </w:t>
      </w:r>
      <w:r w:rsidR="00E07278" w:rsidRPr="00603D43">
        <w:rPr>
          <w:sz w:val="28"/>
          <w:szCs w:val="28"/>
        </w:rPr>
        <w:t>our</w:t>
      </w:r>
      <w:proofErr w:type="gramEnd"/>
      <w:r w:rsidR="00E07278" w:rsidRPr="00603D43">
        <w:rPr>
          <w:sz w:val="28"/>
          <w:szCs w:val="28"/>
        </w:rPr>
        <w:t xml:space="preserve"> healthcare </w:t>
      </w:r>
      <w:r w:rsidR="00E61632">
        <w:rPr>
          <w:sz w:val="28"/>
          <w:szCs w:val="28"/>
        </w:rPr>
        <w:t>c</w:t>
      </w:r>
      <w:r w:rsidR="00906F18">
        <w:rPr>
          <w:sz w:val="28"/>
          <w:szCs w:val="28"/>
        </w:rPr>
        <w:t>ould</w:t>
      </w:r>
      <w:r w:rsidR="00E61632">
        <w:rPr>
          <w:sz w:val="28"/>
          <w:szCs w:val="28"/>
        </w:rPr>
        <w:t xml:space="preserve"> b</w:t>
      </w:r>
      <w:r w:rsidR="00D7562F">
        <w:rPr>
          <w:sz w:val="28"/>
          <w:szCs w:val="28"/>
        </w:rPr>
        <w:t>e con</w:t>
      </w:r>
      <w:r w:rsidR="00787647">
        <w:rPr>
          <w:sz w:val="28"/>
          <w:szCs w:val="28"/>
        </w:rPr>
        <w:t>sidered more</w:t>
      </w:r>
      <w:r w:rsidR="00E07278" w:rsidRPr="00603D43">
        <w:rPr>
          <w:sz w:val="28"/>
          <w:szCs w:val="28"/>
        </w:rPr>
        <w:t xml:space="preserve"> the </w:t>
      </w:r>
      <w:r w:rsidR="00532DB7" w:rsidRPr="00603D43">
        <w:rPr>
          <w:sz w:val="28"/>
          <w:szCs w:val="28"/>
        </w:rPr>
        <w:t xml:space="preserve">business </w:t>
      </w:r>
      <w:r w:rsidR="00E07278" w:rsidRPr="00603D43">
        <w:rPr>
          <w:sz w:val="28"/>
          <w:szCs w:val="28"/>
        </w:rPr>
        <w:t xml:space="preserve">performance of the </w:t>
      </w:r>
      <w:r w:rsidR="009473C6" w:rsidRPr="00603D43">
        <w:rPr>
          <w:sz w:val="28"/>
          <w:szCs w:val="28"/>
        </w:rPr>
        <w:t xml:space="preserve">people </w:t>
      </w:r>
      <w:r w:rsidR="00413146">
        <w:rPr>
          <w:sz w:val="28"/>
          <w:szCs w:val="28"/>
        </w:rPr>
        <w:t xml:space="preserve">(managers and senior clinicians) </w:t>
      </w:r>
      <w:r w:rsidR="009473C6" w:rsidRPr="00603D43">
        <w:rPr>
          <w:sz w:val="28"/>
          <w:szCs w:val="28"/>
        </w:rPr>
        <w:t xml:space="preserve">running </w:t>
      </w:r>
      <w:r w:rsidR="00532DB7" w:rsidRPr="00603D43">
        <w:rPr>
          <w:sz w:val="28"/>
          <w:szCs w:val="28"/>
        </w:rPr>
        <w:t xml:space="preserve">the </w:t>
      </w:r>
      <w:r w:rsidR="00E07278" w:rsidRPr="00603D43">
        <w:rPr>
          <w:sz w:val="28"/>
          <w:szCs w:val="28"/>
        </w:rPr>
        <w:t xml:space="preserve">ICS </w:t>
      </w:r>
      <w:r w:rsidR="00532DB7" w:rsidRPr="00603D43">
        <w:rPr>
          <w:sz w:val="28"/>
          <w:szCs w:val="28"/>
        </w:rPr>
        <w:t xml:space="preserve">to which </w:t>
      </w:r>
      <w:r w:rsidR="00E07278" w:rsidRPr="00603D43">
        <w:rPr>
          <w:sz w:val="28"/>
          <w:szCs w:val="28"/>
        </w:rPr>
        <w:t xml:space="preserve">we are </w:t>
      </w:r>
      <w:r w:rsidR="00532DB7" w:rsidRPr="00603D43">
        <w:rPr>
          <w:sz w:val="28"/>
          <w:szCs w:val="28"/>
        </w:rPr>
        <w:t>allotted</w:t>
      </w:r>
      <w:r w:rsidR="0074506F">
        <w:rPr>
          <w:sz w:val="28"/>
          <w:szCs w:val="28"/>
        </w:rPr>
        <w:t xml:space="preserve">, </w:t>
      </w:r>
      <w:r w:rsidR="00A8355C">
        <w:rPr>
          <w:sz w:val="28"/>
          <w:szCs w:val="28"/>
        </w:rPr>
        <w:t xml:space="preserve">so </w:t>
      </w:r>
      <w:r w:rsidR="0074506F">
        <w:rPr>
          <w:sz w:val="28"/>
          <w:szCs w:val="28"/>
        </w:rPr>
        <w:t>distancing it from</w:t>
      </w:r>
      <w:r w:rsidR="00505A75">
        <w:rPr>
          <w:sz w:val="28"/>
          <w:szCs w:val="28"/>
        </w:rPr>
        <w:t xml:space="preserve"> any</w:t>
      </w:r>
      <w:r w:rsidR="00D72CF4">
        <w:rPr>
          <w:sz w:val="28"/>
          <w:szCs w:val="28"/>
        </w:rPr>
        <w:t xml:space="preserve"> political</w:t>
      </w:r>
      <w:r w:rsidR="00553E35">
        <w:rPr>
          <w:sz w:val="28"/>
          <w:szCs w:val="28"/>
        </w:rPr>
        <w:t xml:space="preserve"> decisions</w:t>
      </w:r>
      <w:r w:rsidR="00A8355C">
        <w:rPr>
          <w:sz w:val="28"/>
          <w:szCs w:val="28"/>
        </w:rPr>
        <w:t xml:space="preserve"> other than the need for ‘sustainability’. </w:t>
      </w:r>
      <w:r w:rsidR="00F370CD">
        <w:rPr>
          <w:sz w:val="28"/>
          <w:szCs w:val="28"/>
        </w:rPr>
        <w:t xml:space="preserve">The measure of success will rest with </w:t>
      </w:r>
      <w:r w:rsidR="005424E5">
        <w:rPr>
          <w:sz w:val="28"/>
          <w:szCs w:val="28"/>
        </w:rPr>
        <w:t xml:space="preserve">how well </w:t>
      </w:r>
      <w:r w:rsidR="00BD748B" w:rsidRPr="00603D43">
        <w:rPr>
          <w:sz w:val="28"/>
          <w:szCs w:val="28"/>
        </w:rPr>
        <w:t>the individual system</w:t>
      </w:r>
      <w:r w:rsidR="003503C3">
        <w:rPr>
          <w:sz w:val="28"/>
          <w:szCs w:val="28"/>
        </w:rPr>
        <w:t xml:space="preserve"> can</w:t>
      </w:r>
      <w:r w:rsidR="00BD748B" w:rsidRPr="00603D43">
        <w:rPr>
          <w:sz w:val="28"/>
          <w:szCs w:val="28"/>
        </w:rPr>
        <w:t xml:space="preserve"> achieve the ‘best value’ for their population</w:t>
      </w:r>
      <w:r w:rsidR="00EC0954">
        <w:rPr>
          <w:sz w:val="28"/>
          <w:szCs w:val="28"/>
        </w:rPr>
        <w:t>’s</w:t>
      </w:r>
      <w:r w:rsidR="00BD748B" w:rsidRPr="00603D43">
        <w:rPr>
          <w:sz w:val="28"/>
          <w:szCs w:val="28"/>
        </w:rPr>
        <w:t xml:space="preserve"> needs. Perhaps </w:t>
      </w:r>
      <w:r w:rsidR="001D5CD0">
        <w:rPr>
          <w:sz w:val="28"/>
          <w:szCs w:val="28"/>
        </w:rPr>
        <w:t>as wel</w:t>
      </w:r>
      <w:r w:rsidR="00EC0954">
        <w:rPr>
          <w:sz w:val="28"/>
          <w:szCs w:val="28"/>
        </w:rPr>
        <w:t>l,</w:t>
      </w:r>
      <w:r w:rsidR="001D5CD0">
        <w:rPr>
          <w:sz w:val="28"/>
          <w:szCs w:val="28"/>
        </w:rPr>
        <w:t xml:space="preserve"> </w:t>
      </w:r>
      <w:r w:rsidR="00BD748B" w:rsidRPr="00603D43">
        <w:rPr>
          <w:sz w:val="28"/>
          <w:szCs w:val="28"/>
        </w:rPr>
        <w:t xml:space="preserve">this performance </w:t>
      </w:r>
      <w:r w:rsidR="00051CFC">
        <w:rPr>
          <w:sz w:val="28"/>
          <w:szCs w:val="28"/>
        </w:rPr>
        <w:t>will</w:t>
      </w:r>
      <w:r w:rsidR="004211BC">
        <w:rPr>
          <w:sz w:val="28"/>
          <w:szCs w:val="28"/>
        </w:rPr>
        <w:t xml:space="preserve"> be seen as dependent on </w:t>
      </w:r>
      <w:r w:rsidR="00BD748B" w:rsidRPr="00603D43">
        <w:rPr>
          <w:sz w:val="28"/>
          <w:szCs w:val="28"/>
        </w:rPr>
        <w:t>each and every individual’s degree of effort to improve their own healthy and ‘caring’ behaviours</w:t>
      </w:r>
      <w:r w:rsidR="00051CFC">
        <w:rPr>
          <w:sz w:val="28"/>
          <w:szCs w:val="28"/>
        </w:rPr>
        <w:t>,</w:t>
      </w:r>
      <w:r w:rsidR="00BD748B" w:rsidRPr="00603D43">
        <w:rPr>
          <w:sz w:val="28"/>
          <w:szCs w:val="28"/>
        </w:rPr>
        <w:t xml:space="preserve"> </w:t>
      </w:r>
      <w:r w:rsidR="00877DA0">
        <w:rPr>
          <w:sz w:val="28"/>
          <w:szCs w:val="28"/>
        </w:rPr>
        <w:t xml:space="preserve">creating a </w:t>
      </w:r>
      <w:r w:rsidR="008A5A88">
        <w:rPr>
          <w:sz w:val="28"/>
          <w:szCs w:val="28"/>
        </w:rPr>
        <w:t>dystopi</w:t>
      </w:r>
      <w:r w:rsidR="00EE7DDB">
        <w:rPr>
          <w:sz w:val="28"/>
          <w:szCs w:val="28"/>
        </w:rPr>
        <w:t>an</w:t>
      </w:r>
      <w:r w:rsidR="008A5A88">
        <w:rPr>
          <w:sz w:val="28"/>
          <w:szCs w:val="28"/>
        </w:rPr>
        <w:t xml:space="preserve"> </w:t>
      </w:r>
      <w:r w:rsidR="00877DA0">
        <w:rPr>
          <w:sz w:val="28"/>
          <w:szCs w:val="28"/>
        </w:rPr>
        <w:t xml:space="preserve">hierarchy of </w:t>
      </w:r>
      <w:r w:rsidR="00F149C0">
        <w:rPr>
          <w:sz w:val="28"/>
          <w:szCs w:val="28"/>
        </w:rPr>
        <w:t xml:space="preserve">healthcare </w:t>
      </w:r>
      <w:r w:rsidR="00877DA0">
        <w:rPr>
          <w:sz w:val="28"/>
          <w:szCs w:val="28"/>
        </w:rPr>
        <w:t>‘worth</w:t>
      </w:r>
      <w:r w:rsidR="00AC3766">
        <w:rPr>
          <w:sz w:val="28"/>
          <w:szCs w:val="28"/>
        </w:rPr>
        <w:t>iness’ for</w:t>
      </w:r>
      <w:r w:rsidR="00877DA0">
        <w:rPr>
          <w:sz w:val="28"/>
          <w:szCs w:val="28"/>
        </w:rPr>
        <w:t xml:space="preserve"> </w:t>
      </w:r>
      <w:r w:rsidR="004211BC">
        <w:rPr>
          <w:sz w:val="28"/>
          <w:szCs w:val="28"/>
        </w:rPr>
        <w:t>citizens</w:t>
      </w:r>
    </w:p>
    <w:p w14:paraId="215CB0A0" w14:textId="77777777" w:rsidR="00663DFE" w:rsidRDefault="00663DFE" w:rsidP="00A546D0">
      <w:pPr>
        <w:rPr>
          <w:sz w:val="28"/>
          <w:szCs w:val="28"/>
        </w:rPr>
      </w:pPr>
    </w:p>
    <w:p w14:paraId="405C9EE5" w14:textId="77777777" w:rsidR="00693172" w:rsidRPr="004C239F" w:rsidRDefault="00693172" w:rsidP="004C239F">
      <w:pPr>
        <w:ind w:left="720"/>
        <w:rPr>
          <w:b/>
          <w:bCs/>
          <w:sz w:val="28"/>
          <w:szCs w:val="28"/>
        </w:rPr>
      </w:pPr>
    </w:p>
    <w:p w14:paraId="13D82E55" w14:textId="77777777" w:rsidR="00E40A95" w:rsidRPr="00784EAB" w:rsidRDefault="00E40A95" w:rsidP="00784EAB">
      <w:pPr>
        <w:pBdr>
          <w:top w:val="nil"/>
          <w:left w:val="nil"/>
          <w:bottom w:val="nil"/>
          <w:right w:val="nil"/>
          <w:between w:val="nil"/>
          <w:bar w:val="nil"/>
        </w:pBdr>
        <w:rPr>
          <w:rFonts w:eastAsia="Arial Unicode MS" w:cs="Arial Unicode MS"/>
          <w:color w:val="000000"/>
          <w:sz w:val="28"/>
          <w:szCs w:val="28"/>
          <w:bdr w:val="nil"/>
          <w:lang w:val="en-US"/>
        </w:rPr>
      </w:pPr>
    </w:p>
    <w:p w14:paraId="6776283A" w14:textId="226C949C" w:rsidR="00E40A95" w:rsidRPr="00554B74" w:rsidRDefault="003562BB" w:rsidP="00554B74">
      <w:pPr>
        <w:pBdr>
          <w:top w:val="nil"/>
          <w:left w:val="nil"/>
          <w:bottom w:val="nil"/>
          <w:right w:val="nil"/>
          <w:between w:val="nil"/>
          <w:bar w:val="nil"/>
        </w:pBdr>
        <w:rPr>
          <w:rFonts w:eastAsia="Arial Unicode MS" w:cs="Arial Unicode MS"/>
          <w:b/>
          <w:bCs/>
          <w:color w:val="000000"/>
          <w:sz w:val="28"/>
          <w:szCs w:val="28"/>
          <w:bdr w:val="nil"/>
          <w:lang w:val="en-US"/>
        </w:rPr>
      </w:pPr>
      <w:r w:rsidRPr="00554B74">
        <w:rPr>
          <w:rFonts w:eastAsia="Arial Unicode MS" w:cs="Arial Unicode MS"/>
          <w:b/>
          <w:bCs/>
          <w:color w:val="000000"/>
          <w:sz w:val="28"/>
          <w:szCs w:val="28"/>
          <w:bdr w:val="nil"/>
          <w:lang w:val="en-US"/>
        </w:rPr>
        <w:t>APPENDIX</w:t>
      </w:r>
      <w:r w:rsidR="00DB02F0">
        <w:rPr>
          <w:rFonts w:eastAsia="Arial Unicode MS" w:cs="Arial Unicode MS"/>
          <w:b/>
          <w:bCs/>
          <w:color w:val="000000"/>
          <w:sz w:val="28"/>
          <w:szCs w:val="28"/>
          <w:bdr w:val="nil"/>
          <w:lang w:val="en-US"/>
        </w:rPr>
        <w:t xml:space="preserve"> (</w:t>
      </w:r>
      <w:r w:rsidR="00A546D0">
        <w:rPr>
          <w:rFonts w:eastAsia="Arial Unicode MS" w:cs="Arial Unicode MS"/>
          <w:b/>
          <w:bCs/>
          <w:color w:val="000000"/>
          <w:sz w:val="28"/>
          <w:szCs w:val="28"/>
          <w:bdr w:val="nil"/>
          <w:lang w:val="en-US"/>
        </w:rPr>
        <w:t xml:space="preserve">from </w:t>
      </w:r>
      <w:r w:rsidR="00DB02F0">
        <w:rPr>
          <w:rFonts w:eastAsia="Arial Unicode MS" w:cs="Arial Unicode MS"/>
          <w:b/>
          <w:bCs/>
          <w:color w:val="000000"/>
          <w:sz w:val="28"/>
          <w:szCs w:val="28"/>
          <w:bdr w:val="nil"/>
          <w:lang w:val="en-US"/>
        </w:rPr>
        <w:t>page</w:t>
      </w:r>
      <w:r w:rsidR="00197499">
        <w:rPr>
          <w:rFonts w:eastAsia="Arial Unicode MS" w:cs="Arial Unicode MS"/>
          <w:b/>
          <w:bCs/>
          <w:color w:val="000000"/>
          <w:sz w:val="28"/>
          <w:szCs w:val="28"/>
          <w:bdr w:val="nil"/>
          <w:lang w:val="en-US"/>
        </w:rPr>
        <w:t xml:space="preserve"> 6)</w:t>
      </w:r>
    </w:p>
    <w:p w14:paraId="3AF21F7F" w14:textId="77777777" w:rsidR="00E40A95" w:rsidRDefault="00E40A95"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p>
    <w:p w14:paraId="75AF3096" w14:textId="47BA9442" w:rsidR="009343BB" w:rsidRPr="00805849" w:rsidRDefault="009343BB" w:rsidP="006C3D22">
      <w:pPr>
        <w:rPr>
          <w:i/>
          <w:iCs/>
          <w:color w:val="5B9BD5" w:themeColor="accent5"/>
          <w:sz w:val="28"/>
          <w:szCs w:val="28"/>
        </w:rPr>
      </w:pPr>
      <w:r w:rsidRPr="00DB375F">
        <w:rPr>
          <w:i/>
          <w:iCs/>
          <w:sz w:val="28"/>
          <w:szCs w:val="28"/>
        </w:rPr>
        <w:t>Annual ‘Five year plan’</w:t>
      </w:r>
      <w:r w:rsidR="00805849">
        <w:rPr>
          <w:i/>
          <w:iCs/>
          <w:sz w:val="28"/>
          <w:szCs w:val="28"/>
        </w:rPr>
        <w:t xml:space="preserve"> </w:t>
      </w:r>
    </w:p>
    <w:p w14:paraId="5CE7E872" w14:textId="77777777" w:rsidR="009343BB" w:rsidRPr="009343BB" w:rsidRDefault="009343BB" w:rsidP="006C3D22">
      <w:pPr>
        <w:rPr>
          <w:sz w:val="28"/>
          <w:szCs w:val="28"/>
        </w:rPr>
      </w:pPr>
      <w:r w:rsidRPr="009343BB">
        <w:rPr>
          <w:sz w:val="28"/>
          <w:szCs w:val="28"/>
        </w:rPr>
        <w:t xml:space="preserve">NHS England must publish guidance for ICBs on the discharge of their functions (14Z49), including how they will meet their financial duties (sections 223GB to 223N), and this must include a plan for the next five years (14Z50) prepared each financial year by an ICB and its partners (NHS trusts and NHS foundation trusts). They must give a copy of the plan to the integrated care partnership (ICP) for the board’s area, each relevant </w:t>
      </w:r>
      <w:proofErr w:type="gramStart"/>
      <w:r w:rsidRPr="009343BB">
        <w:rPr>
          <w:sz w:val="28"/>
          <w:szCs w:val="28"/>
        </w:rPr>
        <w:t>Health</w:t>
      </w:r>
      <w:proofErr w:type="gramEnd"/>
      <w:r w:rsidRPr="009343BB">
        <w:rPr>
          <w:sz w:val="28"/>
          <w:szCs w:val="28"/>
        </w:rPr>
        <w:t xml:space="preserve"> and Wellbeing Board (HWB), and c) NHS England.</w:t>
      </w:r>
    </w:p>
    <w:p w14:paraId="47CD444A" w14:textId="77777777" w:rsidR="009343BB" w:rsidRPr="009343BB" w:rsidRDefault="009343BB" w:rsidP="006C3D22">
      <w:pPr>
        <w:rPr>
          <w:sz w:val="28"/>
          <w:szCs w:val="28"/>
        </w:rPr>
      </w:pPr>
      <w:r w:rsidRPr="009343BB">
        <w:rPr>
          <w:sz w:val="28"/>
          <w:szCs w:val="28"/>
        </w:rPr>
        <w:t>The plan may be revised (14Z51) and if significantly so, then it  must be redistributed as if it were the original plan. More minor changes can be sent in a document as if an addendum.</w:t>
      </w:r>
    </w:p>
    <w:p w14:paraId="28C1B3C9" w14:textId="77777777" w:rsidR="009343BB" w:rsidRPr="009343BB" w:rsidRDefault="009343BB" w:rsidP="006C3D22">
      <w:pPr>
        <w:rPr>
          <w:sz w:val="28"/>
          <w:szCs w:val="28"/>
        </w:rPr>
      </w:pPr>
      <w:r w:rsidRPr="009343BB">
        <w:rPr>
          <w:sz w:val="28"/>
          <w:szCs w:val="28"/>
        </w:rPr>
        <w:lastRenderedPageBreak/>
        <w:t xml:space="preserve">Initial plans and significant revisions </w:t>
      </w:r>
      <w:proofErr w:type="gramStart"/>
      <w:r w:rsidRPr="009343BB">
        <w:rPr>
          <w:sz w:val="28"/>
          <w:szCs w:val="28"/>
        </w:rPr>
        <w:t>require:</w:t>
      </w:r>
      <w:proofErr w:type="gramEnd"/>
      <w:r w:rsidRPr="009343BB">
        <w:rPr>
          <w:sz w:val="28"/>
          <w:szCs w:val="28"/>
        </w:rPr>
        <w:t xml:space="preserve"> a) consultation (14Z52) with ‘the group of people for whom the ICB has core responsibility’, and any other persons they consider appropriate; b) the involvement of each relevant HWB by sending drafts of the plan to check whether they take proper account of each current local health and well-being strategy. The HWB may send their opinion on the plan to NHS England, after informing the ICB that they will do so.</w:t>
      </w:r>
    </w:p>
    <w:p w14:paraId="2A1AE4E3" w14:textId="77777777" w:rsidR="009343BB" w:rsidRPr="009343BB" w:rsidRDefault="009343BB" w:rsidP="006C3D22">
      <w:pPr>
        <w:rPr>
          <w:sz w:val="28"/>
          <w:szCs w:val="28"/>
        </w:rPr>
      </w:pPr>
    </w:p>
    <w:p w14:paraId="64CB9B26" w14:textId="77777777" w:rsidR="009343BB" w:rsidRPr="00DB375F" w:rsidRDefault="009343BB" w:rsidP="006C3D22">
      <w:pPr>
        <w:rPr>
          <w:i/>
          <w:iCs/>
          <w:sz w:val="28"/>
          <w:szCs w:val="28"/>
        </w:rPr>
      </w:pPr>
      <w:r w:rsidRPr="00DB375F">
        <w:rPr>
          <w:i/>
          <w:iCs/>
          <w:sz w:val="28"/>
          <w:szCs w:val="28"/>
        </w:rPr>
        <w:t>Capital Plan</w:t>
      </w:r>
    </w:p>
    <w:p w14:paraId="720BF3F7" w14:textId="77777777" w:rsidR="009343BB" w:rsidRPr="009343BB" w:rsidRDefault="009343BB" w:rsidP="006C3D22">
      <w:pPr>
        <w:rPr>
          <w:sz w:val="28"/>
          <w:szCs w:val="28"/>
        </w:rPr>
      </w:pPr>
      <w:r w:rsidRPr="009343BB">
        <w:rPr>
          <w:sz w:val="28"/>
          <w:szCs w:val="28"/>
        </w:rPr>
        <w:t xml:space="preserve">In addition before the start of each financial year, an ICB and its partners must prepare and publish a plan setting out their planned capital resource use: its expenditure, </w:t>
      </w:r>
      <w:proofErr w:type="gramStart"/>
      <w:r w:rsidRPr="009343BB">
        <w:rPr>
          <w:sz w:val="28"/>
          <w:szCs w:val="28"/>
        </w:rPr>
        <w:t>consumption</w:t>
      </w:r>
      <w:proofErr w:type="gramEnd"/>
      <w:r w:rsidRPr="009343BB">
        <w:rPr>
          <w:sz w:val="28"/>
          <w:szCs w:val="28"/>
        </w:rPr>
        <w:t xml:space="preserve"> or reduction in value (14Z54). They must give a copy of the plan to the ICP for the board’s area, each relevant HWB and NHS England. These joint capital resource use plans may be revised (14Z55), again with significant revisions being treated as an original plan and others documented as addenda. </w:t>
      </w:r>
    </w:p>
    <w:p w14:paraId="4F9B51E7" w14:textId="77777777" w:rsidR="009343BB" w:rsidRPr="009343BB" w:rsidRDefault="009343BB" w:rsidP="006C3D22">
      <w:pPr>
        <w:rPr>
          <w:sz w:val="28"/>
          <w:szCs w:val="28"/>
        </w:rPr>
      </w:pPr>
    </w:p>
    <w:p w14:paraId="14A1D879" w14:textId="77777777" w:rsidR="009343BB" w:rsidRPr="00DB375F" w:rsidRDefault="009343BB" w:rsidP="006C3D22">
      <w:pPr>
        <w:rPr>
          <w:i/>
          <w:iCs/>
          <w:sz w:val="28"/>
          <w:szCs w:val="28"/>
        </w:rPr>
      </w:pPr>
      <w:r w:rsidRPr="00DB375F">
        <w:rPr>
          <w:i/>
          <w:iCs/>
          <w:sz w:val="28"/>
          <w:szCs w:val="28"/>
        </w:rPr>
        <w:t>Annual report</w:t>
      </w:r>
    </w:p>
    <w:p w14:paraId="1FFA4D5C" w14:textId="77777777" w:rsidR="009343BB" w:rsidRPr="009343BB" w:rsidRDefault="009343BB" w:rsidP="006C3D22">
      <w:pPr>
        <w:rPr>
          <w:sz w:val="28"/>
          <w:szCs w:val="28"/>
        </w:rPr>
      </w:pPr>
      <w:r w:rsidRPr="009343BB">
        <w:rPr>
          <w:sz w:val="28"/>
          <w:szCs w:val="28"/>
        </w:rPr>
        <w:t xml:space="preserve">An ICB must, in each financial year, prepare a report for NHS England on how it has discharged its functions in the previous financial year (14Z56) with respect to its forward plan and it’s capital resource use plan. </w:t>
      </w:r>
    </w:p>
    <w:p w14:paraId="60768D20" w14:textId="77777777" w:rsidR="009343BB" w:rsidRPr="009343BB" w:rsidRDefault="009343BB" w:rsidP="006C3D22">
      <w:pPr>
        <w:rPr>
          <w:sz w:val="28"/>
          <w:szCs w:val="28"/>
        </w:rPr>
      </w:pPr>
    </w:p>
    <w:p w14:paraId="3F10E223" w14:textId="77777777" w:rsidR="009343BB" w:rsidRPr="00304A25" w:rsidRDefault="009343BB" w:rsidP="006C3D22">
      <w:pPr>
        <w:rPr>
          <w:i/>
          <w:iCs/>
          <w:sz w:val="28"/>
          <w:szCs w:val="28"/>
        </w:rPr>
      </w:pPr>
      <w:r w:rsidRPr="00304A25">
        <w:rPr>
          <w:i/>
          <w:iCs/>
          <w:sz w:val="28"/>
          <w:szCs w:val="28"/>
        </w:rPr>
        <w:t>Performance Assessment</w:t>
      </w:r>
    </w:p>
    <w:p w14:paraId="05C02692" w14:textId="77777777" w:rsidR="009343BB" w:rsidRPr="009343BB" w:rsidRDefault="009343BB" w:rsidP="006C3D22">
      <w:pPr>
        <w:rPr>
          <w:sz w:val="28"/>
          <w:szCs w:val="28"/>
        </w:rPr>
      </w:pPr>
      <w:r w:rsidRPr="009343BB">
        <w:rPr>
          <w:sz w:val="28"/>
          <w:szCs w:val="28"/>
        </w:rPr>
        <w:t xml:space="preserve">NHS England must conduct a performance assessment of each ICB for each financial year (14Z57), consulting each relevant HWB as to its views on any steps that the board has taken to implement any joint local health and wellbeing strategy. It must publish a report each financial year containing a summary of the results of each performance assessment it has conducted. </w:t>
      </w:r>
    </w:p>
    <w:p w14:paraId="379457F3" w14:textId="77777777" w:rsidR="009343BB" w:rsidRPr="009343BB" w:rsidRDefault="009343BB" w:rsidP="006C3D22">
      <w:pPr>
        <w:rPr>
          <w:sz w:val="28"/>
          <w:szCs w:val="28"/>
        </w:rPr>
      </w:pPr>
    </w:p>
    <w:p w14:paraId="50FEE5DC" w14:textId="77777777" w:rsidR="009343BB" w:rsidRPr="00304A25" w:rsidRDefault="009343BB" w:rsidP="006C3D22">
      <w:pPr>
        <w:rPr>
          <w:i/>
          <w:iCs/>
          <w:sz w:val="28"/>
          <w:szCs w:val="28"/>
        </w:rPr>
      </w:pPr>
      <w:r w:rsidRPr="00304A25">
        <w:rPr>
          <w:i/>
          <w:iCs/>
          <w:sz w:val="28"/>
          <w:szCs w:val="28"/>
        </w:rPr>
        <w:t xml:space="preserve">Obtaining Information and dealing with failure </w:t>
      </w:r>
    </w:p>
    <w:p w14:paraId="5DC507EE" w14:textId="77777777" w:rsidR="009343BB" w:rsidRPr="009343BB" w:rsidRDefault="009343BB" w:rsidP="006C3D22">
      <w:pPr>
        <w:rPr>
          <w:sz w:val="28"/>
          <w:szCs w:val="28"/>
        </w:rPr>
      </w:pPr>
      <w:r w:rsidRPr="009343BB">
        <w:rPr>
          <w:sz w:val="28"/>
          <w:szCs w:val="28"/>
        </w:rPr>
        <w:t xml:space="preserve">The Bill gives NHS England power to: obtain information(14Z58) from an ICB,  provided in such a form, and at such time or within such a period, as it may require; to give directions to ICBs (14Z59) if they are failing or have failed to discharge any of their functions, or there is a significant risk that they will fail to do so. </w:t>
      </w:r>
    </w:p>
    <w:p w14:paraId="6ACE1B96" w14:textId="77777777" w:rsidR="009343BB" w:rsidRPr="009343BB" w:rsidRDefault="009343BB" w:rsidP="006C3D22">
      <w:pPr>
        <w:rPr>
          <w:sz w:val="28"/>
          <w:szCs w:val="28"/>
        </w:rPr>
      </w:pPr>
      <w:r w:rsidRPr="009343BB">
        <w:rPr>
          <w:sz w:val="28"/>
          <w:szCs w:val="28"/>
        </w:rPr>
        <w:t xml:space="preserve">In acting to ameliorate, NHS England may: give directions to the ICB to try to improve the situation over a period of time;  direct the ICB, or its chief executive to cease to perform any functions over a period of time; terminate the appointment of the chief executive, and direct the chair of the board whom to appoint as a replacement and on what terms; exercise, on behalf of </w:t>
      </w:r>
      <w:r w:rsidRPr="009343BB">
        <w:rPr>
          <w:sz w:val="28"/>
          <w:szCs w:val="28"/>
        </w:rPr>
        <w:lastRenderedPageBreak/>
        <w:t>the ICB, any of the functions required; direct another ICB to perform any of those functions on behalf of the ICB; prohibit or restrict the ICB from making delegation arrangements.</w:t>
      </w:r>
    </w:p>
    <w:p w14:paraId="00053970" w14:textId="77777777" w:rsidR="009343BB" w:rsidRPr="009343BB" w:rsidRDefault="009343BB" w:rsidP="006C3D22">
      <w:pPr>
        <w:rPr>
          <w:sz w:val="28"/>
          <w:szCs w:val="28"/>
        </w:rPr>
      </w:pPr>
    </w:p>
    <w:p w14:paraId="63793F8C" w14:textId="77777777" w:rsidR="009343BB" w:rsidRPr="00304A25" w:rsidRDefault="009343BB" w:rsidP="006C3D22">
      <w:pPr>
        <w:rPr>
          <w:i/>
          <w:iCs/>
          <w:sz w:val="28"/>
          <w:szCs w:val="28"/>
        </w:rPr>
      </w:pPr>
      <w:r w:rsidRPr="00304A25">
        <w:rPr>
          <w:i/>
          <w:iCs/>
          <w:sz w:val="28"/>
          <w:szCs w:val="28"/>
        </w:rPr>
        <w:t xml:space="preserve">Consolidated accounts for NHS trusts and NHS foundation trusts </w:t>
      </w:r>
    </w:p>
    <w:p w14:paraId="3D87D11A" w14:textId="77777777" w:rsidR="009343BB" w:rsidRPr="009343BB" w:rsidRDefault="009343BB" w:rsidP="006C3D22">
      <w:pPr>
        <w:rPr>
          <w:sz w:val="28"/>
          <w:szCs w:val="28"/>
        </w:rPr>
      </w:pPr>
      <w:r w:rsidRPr="009343BB">
        <w:rPr>
          <w:sz w:val="28"/>
          <w:szCs w:val="28"/>
        </w:rPr>
        <w:t>NHS England must, in respect of each financial year, prepare a set of accounts that consolidates the annual accounts of a) all NHS trusts established under section 25, and</w:t>
      </w:r>
    </w:p>
    <w:p w14:paraId="1E6DA1B9" w14:textId="77777777" w:rsidR="009343BB" w:rsidRPr="009343BB" w:rsidRDefault="009343BB" w:rsidP="006C3D22">
      <w:pPr>
        <w:rPr>
          <w:sz w:val="28"/>
          <w:szCs w:val="28"/>
        </w:rPr>
      </w:pPr>
      <w:r w:rsidRPr="009343BB">
        <w:rPr>
          <w:sz w:val="28"/>
          <w:szCs w:val="28"/>
        </w:rPr>
        <w:t>b) all NHS foundation trusts (65Z4)</w:t>
      </w:r>
    </w:p>
    <w:p w14:paraId="6EE1F06C" w14:textId="77777777" w:rsidR="009343BB" w:rsidRPr="009343BB" w:rsidRDefault="009343BB" w:rsidP="006C3D22">
      <w:pPr>
        <w:rPr>
          <w:sz w:val="28"/>
          <w:szCs w:val="28"/>
        </w:rPr>
      </w:pPr>
      <w:r w:rsidRPr="009343BB">
        <w:rPr>
          <w:sz w:val="28"/>
          <w:szCs w:val="28"/>
        </w:rPr>
        <w:t xml:space="preserve">NHS England must send a copy of the consolidated accounts to a) the Secretary of State, and b) the Comptroller and Auditor General. The latter must a) examine, </w:t>
      </w:r>
      <w:proofErr w:type="gramStart"/>
      <w:r w:rsidRPr="009343BB">
        <w:rPr>
          <w:sz w:val="28"/>
          <w:szCs w:val="28"/>
        </w:rPr>
        <w:t>certify</w:t>
      </w:r>
      <w:proofErr w:type="gramEnd"/>
      <w:r w:rsidRPr="009343BB">
        <w:rPr>
          <w:sz w:val="28"/>
          <w:szCs w:val="28"/>
        </w:rPr>
        <w:t xml:space="preserve"> and report on the consolidated accounts, and b) send a copy of the report to the Secretary of State and NHS England who must then lay before Parliament a copy of the consolidated accounts and the report on them</w:t>
      </w:r>
    </w:p>
    <w:p w14:paraId="6CD1649B" w14:textId="77777777" w:rsidR="009343BB" w:rsidRPr="009343BB" w:rsidRDefault="009343BB" w:rsidP="006C3D22">
      <w:pPr>
        <w:rPr>
          <w:sz w:val="28"/>
          <w:szCs w:val="28"/>
        </w:rPr>
      </w:pPr>
    </w:p>
    <w:p w14:paraId="380D7470" w14:textId="77777777" w:rsidR="009343BB" w:rsidRPr="00304A25" w:rsidRDefault="009343BB" w:rsidP="006C3D22">
      <w:pPr>
        <w:rPr>
          <w:i/>
          <w:iCs/>
          <w:sz w:val="28"/>
          <w:szCs w:val="28"/>
        </w:rPr>
      </w:pPr>
      <w:r w:rsidRPr="00304A25">
        <w:rPr>
          <w:i/>
          <w:iCs/>
          <w:sz w:val="28"/>
          <w:szCs w:val="28"/>
        </w:rPr>
        <w:t>Funding for service integration (Clause 10)</w:t>
      </w:r>
    </w:p>
    <w:p w14:paraId="7738B657" w14:textId="77777777" w:rsidR="009343BB" w:rsidRPr="009343BB" w:rsidRDefault="009343BB" w:rsidP="006C3D22">
      <w:pPr>
        <w:rPr>
          <w:sz w:val="28"/>
          <w:szCs w:val="28"/>
        </w:rPr>
      </w:pPr>
      <w:r w:rsidRPr="009343BB">
        <w:rPr>
          <w:sz w:val="28"/>
          <w:szCs w:val="28"/>
        </w:rPr>
        <w:t xml:space="preserve">In section 223B (funding of NHS England) the Secretary of State may direct NHS England a) that a certain amount of the money paid to it under this section in respect of a financial year is to be used for service integration and b) about how that money may be used. </w:t>
      </w:r>
    </w:p>
    <w:p w14:paraId="55B816A6" w14:textId="77777777" w:rsidR="009343BB" w:rsidRPr="009343BB" w:rsidRDefault="009343BB" w:rsidP="006C3D22">
      <w:pPr>
        <w:rPr>
          <w:sz w:val="28"/>
          <w:szCs w:val="28"/>
        </w:rPr>
      </w:pPr>
      <w:r w:rsidRPr="009343BB">
        <w:rPr>
          <w:sz w:val="28"/>
          <w:szCs w:val="28"/>
        </w:rPr>
        <w:t>Likewise NHS England may direct an ICB that an amount of the money paid to the board in respect of that year is to be used for purposes relating to service integration.</w:t>
      </w:r>
    </w:p>
    <w:p w14:paraId="1249BFA4" w14:textId="77777777" w:rsidR="009343BB" w:rsidRPr="009343BB" w:rsidRDefault="009343BB" w:rsidP="006C3D22">
      <w:pPr>
        <w:rPr>
          <w:sz w:val="28"/>
          <w:szCs w:val="28"/>
        </w:rPr>
      </w:pPr>
      <w:r w:rsidRPr="009343BB">
        <w:rPr>
          <w:sz w:val="28"/>
          <w:szCs w:val="28"/>
        </w:rPr>
        <w:t xml:space="preserve"> </w:t>
      </w:r>
    </w:p>
    <w:p w14:paraId="3249A82F" w14:textId="77777777" w:rsidR="009343BB" w:rsidRPr="009343BB" w:rsidRDefault="009343BB" w:rsidP="006C3D22">
      <w:pPr>
        <w:rPr>
          <w:sz w:val="28"/>
          <w:szCs w:val="28"/>
        </w:rPr>
      </w:pPr>
    </w:p>
    <w:p w14:paraId="4EC5CFFE" w14:textId="77777777" w:rsidR="00E40A95" w:rsidRDefault="00E40A95"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p>
    <w:p w14:paraId="15C9109A" w14:textId="77777777" w:rsidR="00E40A95" w:rsidRDefault="00E40A95"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p>
    <w:p w14:paraId="5D8EA8CE" w14:textId="77777777" w:rsidR="00E40A95" w:rsidRPr="003A6005" w:rsidRDefault="00E40A95" w:rsidP="006C3D22">
      <w:pPr>
        <w:pStyle w:val="ListParagraph"/>
        <w:pBdr>
          <w:top w:val="nil"/>
          <w:left w:val="nil"/>
          <w:bottom w:val="nil"/>
          <w:right w:val="nil"/>
          <w:between w:val="nil"/>
          <w:bar w:val="nil"/>
        </w:pBdr>
        <w:rPr>
          <w:rFonts w:eastAsia="Arial Unicode MS" w:cs="Arial Unicode MS"/>
          <w:color w:val="000000"/>
          <w:sz w:val="28"/>
          <w:szCs w:val="28"/>
          <w:bdr w:val="nil"/>
          <w:lang w:val="en-US"/>
        </w:rPr>
      </w:pPr>
    </w:p>
    <w:p w14:paraId="44EEBDE7" w14:textId="77777777" w:rsidR="0024790B" w:rsidRPr="00292837" w:rsidRDefault="0024790B" w:rsidP="00292837"/>
    <w:sectPr w:rsidR="0024790B" w:rsidRPr="0029283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E597E" w14:textId="77777777" w:rsidR="009C16EC" w:rsidRDefault="009C16EC" w:rsidP="0024790B">
      <w:r>
        <w:separator/>
      </w:r>
    </w:p>
  </w:endnote>
  <w:endnote w:type="continuationSeparator" w:id="0">
    <w:p w14:paraId="78C26F5C" w14:textId="77777777" w:rsidR="009C16EC" w:rsidRDefault="009C16EC" w:rsidP="0024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874416"/>
      <w:docPartObj>
        <w:docPartGallery w:val="Page Numbers (Bottom of Page)"/>
        <w:docPartUnique/>
      </w:docPartObj>
    </w:sdtPr>
    <w:sdtEndPr>
      <w:rPr>
        <w:rStyle w:val="PageNumber"/>
      </w:rPr>
    </w:sdtEndPr>
    <w:sdtContent>
      <w:p w14:paraId="6F332039" w14:textId="77777777" w:rsidR="00361E6D" w:rsidRDefault="00361E6D" w:rsidP="008D70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825D1" w14:textId="77777777" w:rsidR="00361E6D" w:rsidRDefault="00361E6D" w:rsidP="006C3D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999038"/>
      <w:docPartObj>
        <w:docPartGallery w:val="Page Numbers (Bottom of Page)"/>
        <w:docPartUnique/>
      </w:docPartObj>
    </w:sdtPr>
    <w:sdtEndPr>
      <w:rPr>
        <w:rStyle w:val="PageNumber"/>
      </w:rPr>
    </w:sdtEndPr>
    <w:sdtContent>
      <w:p w14:paraId="6472021E" w14:textId="77777777" w:rsidR="00361E6D" w:rsidRDefault="00361E6D" w:rsidP="006C3D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05849">
          <w:rPr>
            <w:rStyle w:val="PageNumber"/>
            <w:noProof/>
          </w:rPr>
          <w:t>13</w:t>
        </w:r>
        <w:r>
          <w:rPr>
            <w:rStyle w:val="PageNumber"/>
          </w:rPr>
          <w:fldChar w:fldCharType="end"/>
        </w:r>
      </w:p>
    </w:sdtContent>
  </w:sdt>
  <w:p w14:paraId="04C83642" w14:textId="77777777" w:rsidR="00361E6D" w:rsidRDefault="00361E6D" w:rsidP="006C3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51A4" w14:textId="77777777" w:rsidR="009C16EC" w:rsidRDefault="009C16EC" w:rsidP="0024790B">
      <w:r>
        <w:separator/>
      </w:r>
    </w:p>
  </w:footnote>
  <w:footnote w:type="continuationSeparator" w:id="0">
    <w:p w14:paraId="394F5E56" w14:textId="77777777" w:rsidR="009C16EC" w:rsidRDefault="009C16EC" w:rsidP="0024790B">
      <w:r>
        <w:continuationSeparator/>
      </w:r>
    </w:p>
  </w:footnote>
  <w:footnote w:id="1">
    <w:p w14:paraId="25CCC168" w14:textId="77777777" w:rsidR="00361E6D" w:rsidRDefault="00361E6D">
      <w:pPr>
        <w:pStyle w:val="FootnoteText"/>
      </w:pPr>
      <w:r>
        <w:rPr>
          <w:rStyle w:val="FootnoteReference"/>
        </w:rPr>
        <w:footnoteRef/>
      </w:r>
      <w:r>
        <w:t xml:space="preserve"> </w:t>
      </w:r>
      <w:r w:rsidRPr="00627950">
        <w:rPr>
          <w:rFonts w:eastAsia="Arial Unicode MS" w:cstheme="minorHAnsi"/>
          <w:bdr w:val="nil"/>
          <w:lang w:eastAsia="en-US"/>
        </w:rPr>
        <w:t>Chang H-J. Economics: the user’s guide</w:t>
      </w:r>
      <w:r>
        <w:rPr>
          <w:rFonts w:eastAsia="Arial Unicode MS" w:cstheme="minorHAnsi"/>
          <w:bdr w:val="nil"/>
          <w:lang w:eastAsia="en-US"/>
        </w:rPr>
        <w:t xml:space="preserve">. </w:t>
      </w:r>
      <w:r w:rsidRPr="00627950">
        <w:rPr>
          <w:rFonts w:eastAsia="Arial Unicode MS" w:cstheme="minorHAnsi"/>
          <w:bdr w:val="nil"/>
          <w:lang w:eastAsia="en-US"/>
        </w:rPr>
        <w:t>Penguin 2014</w:t>
      </w:r>
      <w:r>
        <w:rPr>
          <w:rFonts w:eastAsia="Arial Unicode MS" w:cstheme="minorHAnsi"/>
          <w:bdr w:val="nil"/>
          <w:lang w:eastAsia="en-US"/>
        </w:rPr>
        <w:t xml:space="preserve"> </w:t>
      </w:r>
    </w:p>
  </w:footnote>
  <w:footnote w:id="2">
    <w:p w14:paraId="42676167" w14:textId="77777777" w:rsidR="00361E6D" w:rsidRDefault="00361E6D">
      <w:pPr>
        <w:pStyle w:val="FootnoteText"/>
      </w:pPr>
      <w:r>
        <w:rPr>
          <w:rStyle w:val="FootnoteReference"/>
        </w:rPr>
        <w:footnoteRef/>
      </w:r>
      <w:r>
        <w:t xml:space="preserve"> </w:t>
      </w:r>
      <w:hyperlink r:id="rId1" w:history="1">
        <w:r w:rsidRPr="005720FA">
          <w:rPr>
            <w:rStyle w:val="Hyperlink"/>
          </w:rPr>
          <w:t>https://www.england.nhs.uk/wp-content/uploads/2014/10/5yfv-web.pdf</w:t>
        </w:r>
      </w:hyperlink>
      <w:r>
        <w:t xml:space="preserve"> </w:t>
      </w:r>
    </w:p>
  </w:footnote>
  <w:footnote w:id="3">
    <w:p w14:paraId="13109612" w14:textId="77777777" w:rsidR="00361E6D" w:rsidRDefault="00361E6D">
      <w:pPr>
        <w:pStyle w:val="FootnoteText"/>
      </w:pPr>
      <w:r>
        <w:rPr>
          <w:rStyle w:val="FootnoteReference"/>
        </w:rPr>
        <w:footnoteRef/>
      </w:r>
      <w:r>
        <w:t xml:space="preserve"> </w:t>
      </w:r>
      <w:hyperlink r:id="rId2" w:history="1">
        <w:r w:rsidRPr="005720FA">
          <w:rPr>
            <w:rStyle w:val="Hyperlink"/>
          </w:rPr>
          <w:t>https://www.longtermplan.nhs.uk/online-version/</w:t>
        </w:r>
      </w:hyperlink>
      <w:r>
        <w:t xml:space="preserve"> </w:t>
      </w:r>
    </w:p>
  </w:footnote>
  <w:footnote w:id="4">
    <w:p w14:paraId="7E59E85B" w14:textId="77777777" w:rsidR="00361E6D" w:rsidRDefault="00361E6D">
      <w:pPr>
        <w:pStyle w:val="FootnoteText"/>
      </w:pPr>
      <w:r>
        <w:rPr>
          <w:rStyle w:val="FootnoteReference"/>
        </w:rPr>
        <w:footnoteRef/>
      </w:r>
      <w:r>
        <w:t xml:space="preserve"> </w:t>
      </w:r>
      <w:hyperlink r:id="rId3" w:history="1">
        <w:r w:rsidRPr="005720FA">
          <w:rPr>
            <w:rStyle w:val="Hyperlink"/>
          </w:rPr>
          <w:t>https://www.ncbi.nlm.nih.gov/pmc/articles/PMC4422096/</w:t>
        </w:r>
      </w:hyperlink>
      <w:r>
        <w:t xml:space="preserve"> </w:t>
      </w:r>
    </w:p>
  </w:footnote>
  <w:footnote w:id="5">
    <w:p w14:paraId="5A33F79F" w14:textId="77777777" w:rsidR="00361E6D" w:rsidRDefault="00361E6D">
      <w:pPr>
        <w:pStyle w:val="FootnoteText"/>
      </w:pPr>
      <w:r>
        <w:rPr>
          <w:rStyle w:val="FootnoteReference"/>
        </w:rPr>
        <w:footnoteRef/>
      </w:r>
      <w:r>
        <w:t xml:space="preserve"> </w:t>
      </w:r>
      <w:hyperlink r:id="rId4" w:history="1">
        <w:r w:rsidRPr="006107AD">
          <w:rPr>
            <w:rStyle w:val="Hyperlink"/>
          </w:rPr>
          <w:t>https://www3.weforum.org/docs/WEF_Maximizing_Healthy_Life_Years.pdf</w:t>
        </w:r>
      </w:hyperlink>
    </w:p>
  </w:footnote>
  <w:footnote w:id="6">
    <w:p w14:paraId="16AF85AD" w14:textId="77777777" w:rsidR="00361E6D" w:rsidRDefault="00361E6D">
      <w:pPr>
        <w:pStyle w:val="FootnoteText"/>
      </w:pPr>
      <w:r>
        <w:rPr>
          <w:rStyle w:val="FootnoteReference"/>
        </w:rPr>
        <w:footnoteRef/>
      </w:r>
      <w:r>
        <w:t xml:space="preserve"> </w:t>
      </w:r>
      <w:r w:rsidRPr="008B779B">
        <w:t xml:space="preserve">Fisher, Elliott S.; </w:t>
      </w:r>
      <w:proofErr w:type="spellStart"/>
      <w:r w:rsidRPr="008B779B">
        <w:t>Staiger</w:t>
      </w:r>
      <w:proofErr w:type="spellEnd"/>
      <w:r w:rsidRPr="008B779B">
        <w:t xml:space="preserve">, Douglas O.; Bynum, Julie P. W.; Gottlieb, Daniel J. (2007-01-01). </w:t>
      </w:r>
      <w:r>
        <w:t xml:space="preserve">Creating Accountable Care Organizations: The Extended Hospital Medical Staff. A new approach to organizing care and ensuring accountability </w:t>
      </w:r>
      <w:hyperlink r:id="rId5" w:history="1">
        <w:r w:rsidRPr="00F2222A">
          <w:rPr>
            <w:rStyle w:val="Hyperlink"/>
          </w:rPr>
          <w:t>https://www.ncbi.nlm.nih.gov/pmc/articles/PMC2131738/</w:t>
        </w:r>
      </w:hyperlink>
      <w:r>
        <w:t xml:space="preserve"> </w:t>
      </w:r>
    </w:p>
  </w:footnote>
  <w:footnote w:id="7">
    <w:p w14:paraId="70E0CE22" w14:textId="69C0DBED" w:rsidR="00AA198E" w:rsidRDefault="00AA198E">
      <w:pPr>
        <w:pStyle w:val="FootnoteText"/>
      </w:pPr>
      <w:r>
        <w:rPr>
          <w:rStyle w:val="FootnoteReference"/>
        </w:rPr>
        <w:footnoteRef/>
      </w:r>
      <w:r>
        <w:t xml:space="preserve"> </w:t>
      </w:r>
      <w:hyperlink r:id="rId6" w:history="1">
        <w:r w:rsidRPr="005A6A11">
          <w:rPr>
            <w:rStyle w:val="Hyperlink"/>
          </w:rPr>
          <w:t>https://apps.who.int/iris/rest/bitstreams/1268045/retrieve</w:t>
        </w:r>
      </w:hyperlink>
      <w:r>
        <w:t xml:space="preserve"> </w:t>
      </w:r>
    </w:p>
  </w:footnote>
  <w:footnote w:id="8">
    <w:p w14:paraId="66A7FB70" w14:textId="45EFFC37" w:rsidR="00361E6D" w:rsidRDefault="00361E6D">
      <w:pPr>
        <w:pStyle w:val="FootnoteText"/>
      </w:pPr>
      <w:r>
        <w:rPr>
          <w:rStyle w:val="FootnoteReference"/>
        </w:rPr>
        <w:footnoteRef/>
      </w:r>
      <w:r>
        <w:t xml:space="preserve"> </w:t>
      </w:r>
      <w:hyperlink r:id="rId7" w:history="1">
        <w:r w:rsidRPr="00FB393D">
          <w:rPr>
            <w:rStyle w:val="Hyperlink"/>
          </w:rPr>
          <w:t>https://www.allysonpollock.com/wp-content/uploads/2013/04/UNISON_2002_Pollock_WhatsGoodNHS.pdf</w:t>
        </w:r>
      </w:hyperlink>
      <w:r>
        <w:t xml:space="preserve"> </w:t>
      </w:r>
    </w:p>
  </w:footnote>
  <w:footnote w:id="9">
    <w:p w14:paraId="5565DD5D" w14:textId="77777777" w:rsidR="00361E6D" w:rsidRDefault="00361E6D">
      <w:pPr>
        <w:pStyle w:val="FootnoteText"/>
      </w:pPr>
      <w:r>
        <w:rPr>
          <w:rStyle w:val="FootnoteReference"/>
        </w:rPr>
        <w:footnoteRef/>
      </w:r>
      <w:r>
        <w:t xml:space="preserve"> </w:t>
      </w:r>
      <w:hyperlink r:id="rId8" w:history="1">
        <w:r w:rsidRPr="00114F9D">
          <w:rPr>
            <w:rStyle w:val="Hyperlink"/>
          </w:rPr>
          <w:t>https://www.england.nhs.uk/wp-content/uploads/2019/08/13-Whole-Population-Budget-Overview.pdf</w:t>
        </w:r>
      </w:hyperlink>
    </w:p>
  </w:footnote>
  <w:footnote w:id="10">
    <w:p w14:paraId="3FEA2548" w14:textId="77777777" w:rsidR="00361E6D" w:rsidRDefault="00361E6D">
      <w:pPr>
        <w:pStyle w:val="FootnoteText"/>
      </w:pPr>
      <w:r>
        <w:rPr>
          <w:rStyle w:val="FootnoteReference"/>
        </w:rPr>
        <w:footnoteRef/>
      </w:r>
      <w:r>
        <w:t xml:space="preserve"> </w:t>
      </w:r>
      <w:hyperlink r:id="rId9" w:history="1">
        <w:r w:rsidRPr="00783997">
          <w:rPr>
            <w:rStyle w:val="Hyperlink"/>
          </w:rPr>
          <w:t>https://www.england.nhs.uk/wp-content/uploads/2021/09/Context-for-finances-and-payment-for-2022-23.pdf</w:t>
        </w:r>
      </w:hyperlink>
    </w:p>
  </w:footnote>
  <w:footnote w:id="11">
    <w:p w14:paraId="14A51599" w14:textId="109AF289" w:rsidR="00361E6D" w:rsidRPr="007F1705" w:rsidRDefault="00361E6D">
      <w:pPr>
        <w:pStyle w:val="FootnoteText"/>
        <w:rPr>
          <w:color w:val="5B9BD5" w:themeColor="accent5"/>
        </w:rPr>
      </w:pPr>
      <w:r>
        <w:rPr>
          <w:rStyle w:val="FootnoteReference"/>
        </w:rPr>
        <w:footnoteRef/>
      </w:r>
      <w:r>
        <w:t xml:space="preserve"> National Tariff is </w:t>
      </w:r>
      <w:r w:rsidRPr="00E54A7C">
        <w:t>a</w:t>
      </w:r>
      <w:r w:rsidR="00145B6F">
        <w:t xml:space="preserve">n annually </w:t>
      </w:r>
      <w:r w:rsidRPr="00E54A7C">
        <w:t xml:space="preserve">set </w:t>
      </w:r>
      <w:r w:rsidR="00145B6F">
        <w:t xml:space="preserve">list </w:t>
      </w:r>
      <w:r w:rsidRPr="00E54A7C">
        <w:t xml:space="preserve">of prices </w:t>
      </w:r>
      <w:r w:rsidR="00BE3072">
        <w:t>of interventions</w:t>
      </w:r>
      <w:r w:rsidR="00145B6F">
        <w:t>,</w:t>
      </w:r>
      <w:r w:rsidR="00BE3072">
        <w:t xml:space="preserve"> </w:t>
      </w:r>
      <w:r w:rsidRPr="00E54A7C">
        <w:t>and rules</w:t>
      </w:r>
      <w:r w:rsidR="00145B6F">
        <w:t xml:space="preserve"> for their use,</w:t>
      </w:r>
      <w:r w:rsidRPr="00E54A7C">
        <w:t xml:space="preserve"> used by providers of NHS care and commissioners </w:t>
      </w:r>
      <w:r w:rsidR="00FB1F32">
        <w:t xml:space="preserve">in an attempt </w:t>
      </w:r>
      <w:r w:rsidRPr="00E54A7C">
        <w:t>to deliver the most efficient, cost effective care to patients.</w:t>
      </w:r>
      <w:r>
        <w:t xml:space="preserve"> </w:t>
      </w:r>
    </w:p>
  </w:footnote>
  <w:footnote w:id="12">
    <w:p w14:paraId="1C3A4B47" w14:textId="5984E892" w:rsidR="00361E6D" w:rsidRPr="00B65D03" w:rsidRDefault="00361E6D" w:rsidP="00B65D03">
      <w:pPr>
        <w:rPr>
          <w:sz w:val="20"/>
          <w:szCs w:val="20"/>
        </w:rPr>
      </w:pPr>
      <w:r>
        <w:rPr>
          <w:rStyle w:val="FootnoteReference"/>
        </w:rPr>
        <w:footnoteRef/>
      </w:r>
      <w:r>
        <w:t xml:space="preserve"> </w:t>
      </w:r>
      <w:r w:rsidRPr="000D2455">
        <w:rPr>
          <w:sz w:val="20"/>
          <w:szCs w:val="20"/>
        </w:rPr>
        <w:t>The measures in the Bill on tariff are designed to meet the NHS request</w:t>
      </w:r>
      <w:r>
        <w:rPr>
          <w:sz w:val="20"/>
          <w:szCs w:val="20"/>
        </w:rPr>
        <w:t xml:space="preserve"> </w:t>
      </w:r>
      <w:r w:rsidRPr="000D2455">
        <w:rPr>
          <w:sz w:val="20"/>
          <w:szCs w:val="20"/>
        </w:rPr>
        <w:t>for changes to give the NHS more flexibility in how tariff prices and rules are set, to help support the delivery of more integrated care at local levels</w:t>
      </w:r>
      <w:r>
        <w:rPr>
          <w:sz w:val="20"/>
          <w:szCs w:val="20"/>
        </w:rPr>
        <w:t xml:space="preserve">. </w:t>
      </w:r>
      <w:r w:rsidRPr="000D2455">
        <w:rPr>
          <w:rFonts w:eastAsia="Arial Unicode MS" w:cs="Arial Unicode MS"/>
          <w:color w:val="000000"/>
          <w:sz w:val="20"/>
          <w:szCs w:val="20"/>
          <w:bdr w:val="nil"/>
          <w:lang w:val="en-US"/>
        </w:rPr>
        <w:t>To reflect that</w:t>
      </w:r>
      <w:r>
        <w:rPr>
          <w:rFonts w:eastAsia="Arial Unicode MS" w:cs="Arial Unicode MS"/>
          <w:color w:val="000000"/>
          <w:sz w:val="20"/>
          <w:szCs w:val="20"/>
          <w:bdr w:val="nil"/>
          <w:lang w:val="en-US"/>
        </w:rPr>
        <w:t>,</w:t>
      </w:r>
      <w:r w:rsidRPr="000D2455">
        <w:rPr>
          <w:rFonts w:eastAsia="Arial Unicode MS" w:cs="Arial Unicode MS"/>
          <w:color w:val="000000"/>
          <w:sz w:val="20"/>
          <w:szCs w:val="20"/>
          <w:bdr w:val="nil"/>
          <w:lang w:val="en-US"/>
        </w:rPr>
        <w:t xml:space="preserve"> </w:t>
      </w:r>
      <w:r w:rsidRPr="00AB4601">
        <w:rPr>
          <w:rFonts w:eastAsia="Arial Unicode MS" w:cs="Arial Unicode MS"/>
          <w:b/>
          <w:bCs/>
          <w:color w:val="000000"/>
          <w:sz w:val="20"/>
          <w:szCs w:val="20"/>
          <w:bdr w:val="nil"/>
          <w:lang w:val="en-US"/>
        </w:rPr>
        <w:t>the new measures on tariff mean that there may not be any national tariffs</w:t>
      </w:r>
      <w:r w:rsidRPr="000D2455">
        <w:rPr>
          <w:rFonts w:eastAsia="Arial Unicode MS" w:cs="Arial Unicode MS"/>
          <w:color w:val="000000"/>
          <w:sz w:val="20"/>
          <w:szCs w:val="20"/>
          <w:bdr w:val="nil"/>
          <w:lang w:val="en-US"/>
        </w:rPr>
        <w:t xml:space="preserve">, the Bill therefore proposes to revoke the national tariff and replace it with a new NHS payment scheme. The scheme will be published by </w:t>
      </w:r>
      <w:r w:rsidRPr="0087496D">
        <w:rPr>
          <w:rFonts w:eastAsia="Arial Unicode MS" w:cs="Arial Unicode MS"/>
          <w:b/>
          <w:bCs/>
          <w:color w:val="000000"/>
          <w:sz w:val="20"/>
          <w:szCs w:val="20"/>
          <w:bdr w:val="nil"/>
          <w:lang w:val="en-US"/>
        </w:rPr>
        <w:t>NHS England, who will consult with ICBs as the new commissioner of most NHS services, as well as relevant providers (both NHS providers and those from the independent or voluntary sector)</w:t>
      </w:r>
      <w:r w:rsidRPr="000D2455">
        <w:rPr>
          <w:rFonts w:eastAsia="Arial Unicode MS" w:cs="Arial Unicode MS"/>
          <w:color w:val="000000"/>
          <w:sz w:val="20"/>
          <w:szCs w:val="20"/>
          <w:bdr w:val="nil"/>
          <w:lang w:val="en-US"/>
        </w:rPr>
        <w:t>. The NHS payment scheme will set rules around how commissioners establish prices to pay providers for healthcare services for the purposes of the NHS, or public health services commissioned by an ICB or NHS England, on behalf of the Secretary of State (known as section 7A and section 7B services).</w:t>
      </w:r>
      <w:r w:rsidRPr="009E0C44">
        <w:rPr>
          <w:sz w:val="28"/>
          <w:szCs w:val="28"/>
        </w:rPr>
        <w:t xml:space="preserve"> </w:t>
      </w:r>
      <w:r w:rsidRPr="009E0C44">
        <w:rPr>
          <w:i/>
          <w:iCs/>
          <w:sz w:val="20"/>
          <w:szCs w:val="20"/>
        </w:rPr>
        <w:t>Explanatory Notes relate to the Health and Care Bill as brought from the House of Commons on 24 November 2021 (HL Bill 71)</w:t>
      </w:r>
    </w:p>
    <w:p w14:paraId="03669B38" w14:textId="77777777" w:rsidR="00361E6D" w:rsidRPr="000D2455" w:rsidRDefault="00361E6D" w:rsidP="006C3D22">
      <w:pPr>
        <w:pBdr>
          <w:top w:val="nil"/>
          <w:left w:val="nil"/>
          <w:bottom w:val="nil"/>
          <w:right w:val="nil"/>
          <w:between w:val="nil"/>
          <w:bar w:val="nil"/>
        </w:pBdr>
        <w:ind w:left="360"/>
        <w:rPr>
          <w:rFonts w:eastAsia="Arial Unicode MS" w:cs="Arial Unicode MS"/>
          <w:color w:val="000000"/>
          <w:sz w:val="20"/>
          <w:szCs w:val="20"/>
          <w:bdr w:val="nil"/>
          <w:lang w:val="en-US"/>
        </w:rPr>
      </w:pPr>
    </w:p>
    <w:p w14:paraId="125D5E35" w14:textId="77777777" w:rsidR="00361E6D" w:rsidRDefault="00361E6D">
      <w:pPr>
        <w:pStyle w:val="FootnoteText"/>
      </w:pPr>
    </w:p>
  </w:footnote>
  <w:footnote w:id="13">
    <w:p w14:paraId="22F3C6D6" w14:textId="77777777" w:rsidR="00361E6D" w:rsidRPr="0022118C" w:rsidRDefault="00361E6D" w:rsidP="006C3D22">
      <w:pPr>
        <w:pStyle w:val="FootnoteText"/>
        <w:rPr>
          <w:lang w:val="en-US"/>
        </w:rPr>
      </w:pPr>
      <w:r>
        <w:rPr>
          <w:rStyle w:val="FootnoteReference"/>
        </w:rPr>
        <w:footnoteRef/>
      </w:r>
      <w:r>
        <w:t xml:space="preserve"> </w:t>
      </w:r>
      <w:hyperlink r:id="rId10" w:history="1">
        <w:r w:rsidRPr="007D51D1">
          <w:rPr>
            <w:rStyle w:val="Hyperlink"/>
          </w:rPr>
          <w:t>https://www.gov.uk/government/publications/how-to-understand-public-sector-spending/how-to-understand-public-sector-spending</w:t>
        </w:r>
      </w:hyperlink>
      <w:r>
        <w:t xml:space="preserve"> </w:t>
      </w:r>
    </w:p>
  </w:footnote>
  <w:footnote w:id="14">
    <w:p w14:paraId="7D1FC054" w14:textId="77777777" w:rsidR="00361E6D" w:rsidRPr="00766DBE" w:rsidRDefault="00361E6D">
      <w:pPr>
        <w:pStyle w:val="FootnoteText"/>
        <w:rPr>
          <w:lang w:val="en-US"/>
        </w:rPr>
      </w:pPr>
      <w:r>
        <w:rPr>
          <w:rStyle w:val="FootnoteReference"/>
        </w:rPr>
        <w:footnoteRef/>
      </w:r>
      <w:r>
        <w:t xml:space="preserve"> </w:t>
      </w:r>
      <w:r w:rsidRPr="00766DBE">
        <w:t>other than use that consists of the transfer of resources between relevant NHS bodies.</w:t>
      </w:r>
    </w:p>
  </w:footnote>
  <w:footnote w:id="15">
    <w:p w14:paraId="46224662" w14:textId="77777777" w:rsidR="00361E6D" w:rsidRPr="004C7AC3" w:rsidRDefault="00361E6D" w:rsidP="004C7AC3">
      <w:pPr>
        <w:rPr>
          <w:sz w:val="20"/>
          <w:szCs w:val="20"/>
        </w:rPr>
      </w:pPr>
      <w:r>
        <w:rPr>
          <w:rStyle w:val="FootnoteReference"/>
        </w:rPr>
        <w:footnoteRef/>
      </w:r>
      <w:r>
        <w:t xml:space="preserve"> </w:t>
      </w:r>
      <w:r w:rsidRPr="00235E45">
        <w:rPr>
          <w:sz w:val="20"/>
          <w:szCs w:val="20"/>
        </w:rPr>
        <w:t>Financial objectives under this section may apply to a) ICBs and their partners, b) a particular ICB and its partners, or c) an ICB of a particular description and its partners.</w:t>
      </w:r>
    </w:p>
  </w:footnote>
  <w:footnote w:id="16">
    <w:p w14:paraId="2BF2FEC9" w14:textId="77777777" w:rsidR="00361E6D" w:rsidRDefault="00361E6D">
      <w:pPr>
        <w:pStyle w:val="FootnoteText"/>
      </w:pPr>
      <w:r>
        <w:rPr>
          <w:rStyle w:val="FootnoteReference"/>
        </w:rPr>
        <w:footnoteRef/>
      </w:r>
      <w:r>
        <w:t xml:space="preserve"> </w:t>
      </w:r>
      <w:hyperlink r:id="rId11" w:history="1">
        <w:r w:rsidRPr="00A67344">
          <w:rPr>
            <w:rStyle w:val="Hyperlink"/>
          </w:rPr>
          <w:t>https://www.england.nhs.uk/wp-content/uploads/2021/02/B0135-provider-selection-regime-consultation.pdf</w:t>
        </w:r>
      </w:hyperlink>
      <w:r>
        <w:t xml:space="preserve"> </w:t>
      </w:r>
    </w:p>
  </w:footnote>
  <w:footnote w:id="17">
    <w:p w14:paraId="24252F0D" w14:textId="77777777" w:rsidR="00361E6D" w:rsidRDefault="00361E6D">
      <w:pPr>
        <w:pStyle w:val="FootnoteText"/>
      </w:pPr>
      <w:r>
        <w:rPr>
          <w:rStyle w:val="FootnoteReference"/>
        </w:rPr>
        <w:footnoteRef/>
      </w:r>
      <w:r>
        <w:t xml:space="preserve"> </w:t>
      </w:r>
      <w:hyperlink r:id="rId12" w:history="1">
        <w:r w:rsidRPr="00A67344">
          <w:rPr>
            <w:rStyle w:val="Hyperlink"/>
          </w:rPr>
          <w:t>https://www.england.nhs.uk/wp-content/uploads/2021/02/B0706-NHS-Provider-Selection-regime-response-to-consultation.pdf</w:t>
        </w:r>
      </w:hyperlink>
      <w:r>
        <w:t xml:space="preserve"> </w:t>
      </w:r>
    </w:p>
  </w:footnote>
  <w:footnote w:id="18">
    <w:p w14:paraId="3ECE8D37" w14:textId="7E28A9BE" w:rsidR="00E23CC0" w:rsidRDefault="00E23CC0">
      <w:pPr>
        <w:pStyle w:val="FootnoteText"/>
      </w:pPr>
      <w:r>
        <w:rPr>
          <w:rStyle w:val="FootnoteReference"/>
        </w:rPr>
        <w:footnoteRef/>
      </w:r>
      <w:r>
        <w:t xml:space="preserve"> </w:t>
      </w:r>
      <w:hyperlink r:id="rId13" w:history="1">
        <w:r w:rsidRPr="002F6FD0">
          <w:rPr>
            <w:rStyle w:val="Hyperlink"/>
          </w:rPr>
          <w:t>https://keepournhspublic.com/wp-content/uploads/2022/01/statement-on-response-to-Provider-Selection-Regime.docx</w:t>
        </w:r>
      </w:hyperlink>
      <w:r>
        <w:t xml:space="preserve"> </w:t>
      </w:r>
    </w:p>
  </w:footnote>
  <w:footnote w:id="19">
    <w:p w14:paraId="418ACAE2" w14:textId="77777777" w:rsidR="00361E6D" w:rsidRDefault="00361E6D">
      <w:pPr>
        <w:pStyle w:val="FootnoteText"/>
      </w:pPr>
      <w:r>
        <w:rPr>
          <w:rStyle w:val="FootnoteReference"/>
        </w:rPr>
        <w:footnoteRef/>
      </w:r>
      <w:r>
        <w:t xml:space="preserve"> </w:t>
      </w:r>
      <w:hyperlink r:id="rId14" w:history="1">
        <w:r w:rsidRPr="005720FA">
          <w:rPr>
            <w:rStyle w:val="Hyperlink"/>
          </w:rPr>
          <w:t>https://www.england.nhs.uk/coronavirus/publication/block-payment-guidance-documents/</w:t>
        </w:r>
      </w:hyperlink>
      <w:r>
        <w:t xml:space="preserve"> </w:t>
      </w:r>
    </w:p>
  </w:footnote>
  <w:footnote w:id="20">
    <w:p w14:paraId="04960CAF" w14:textId="77777777" w:rsidR="00361E6D" w:rsidRDefault="00361E6D">
      <w:pPr>
        <w:pStyle w:val="FootnoteText"/>
      </w:pPr>
      <w:r>
        <w:rPr>
          <w:rStyle w:val="FootnoteReference"/>
        </w:rPr>
        <w:footnoteRef/>
      </w:r>
      <w:r>
        <w:t xml:space="preserve"> </w:t>
      </w:r>
      <w:hyperlink r:id="rId15" w:anchor="page7" w:history="1">
        <w:r w:rsidRPr="005720FA">
          <w:rPr>
            <w:rStyle w:val="Hyperlink"/>
          </w:rPr>
          <w:t>https://www.england.nhs.uk/wp-content/uploads/2021/02/20-21NT_Guidance_on_blended_payments.pdf#page7</w:t>
        </w:r>
      </w:hyperlink>
      <w:r>
        <w:t xml:space="preserve"> </w:t>
      </w:r>
    </w:p>
  </w:footnote>
  <w:footnote w:id="21">
    <w:p w14:paraId="20DC85AE" w14:textId="6209DDE9" w:rsidR="008B5963" w:rsidRDefault="008B5963">
      <w:pPr>
        <w:pStyle w:val="FootnoteText"/>
      </w:pPr>
      <w:r>
        <w:rPr>
          <w:rStyle w:val="FootnoteReference"/>
        </w:rPr>
        <w:footnoteRef/>
      </w:r>
      <w:r>
        <w:t xml:space="preserve"> </w:t>
      </w:r>
      <w:r w:rsidR="00F552B7">
        <w:t xml:space="preserve">By this they mean </w:t>
      </w:r>
      <w:r w:rsidR="007735A5" w:rsidRPr="00EE7FEA">
        <w:t>developing ‘new models of care’ and reductions of ‘unwarranted variations’</w:t>
      </w:r>
      <w:r w:rsidR="00EE7FEA">
        <w:t>-see paper on ‘value’</w:t>
      </w:r>
    </w:p>
  </w:footnote>
  <w:footnote w:id="22">
    <w:p w14:paraId="0B713B1E" w14:textId="0EC97D11" w:rsidR="00361E6D" w:rsidRDefault="00361E6D">
      <w:pPr>
        <w:pStyle w:val="FootnoteText"/>
      </w:pPr>
      <w:r>
        <w:rPr>
          <w:rStyle w:val="FootnoteReference"/>
        </w:rPr>
        <w:footnoteRef/>
      </w:r>
      <w:r>
        <w:t xml:space="preserve"> </w:t>
      </w:r>
      <w:hyperlink r:id="rId16" w:history="1">
        <w:r w:rsidRPr="00783997">
          <w:rPr>
            <w:rStyle w:val="Hyperlink"/>
          </w:rPr>
          <w:t>https://www.hfma.org.uk/docs/default-source/publications/Briefings/an-introduction-to-aligned-incentive-contracts.pdf?sfvrsn=8c777be7_2</w:t>
        </w:r>
      </w:hyperlink>
      <w:r>
        <w:rPr>
          <w:rStyle w:val="Hyperlink"/>
        </w:rPr>
        <w:t xml:space="preserve"> </w:t>
      </w:r>
    </w:p>
  </w:footnote>
  <w:footnote w:id="23">
    <w:p w14:paraId="11F5A174" w14:textId="7644476D" w:rsidR="00361E6D" w:rsidRDefault="00361E6D">
      <w:pPr>
        <w:pStyle w:val="FootnoteText"/>
      </w:pPr>
      <w:r>
        <w:rPr>
          <w:rStyle w:val="FootnoteReference"/>
        </w:rPr>
        <w:footnoteRef/>
      </w:r>
      <w:r>
        <w:t xml:space="preserve"> </w:t>
      </w:r>
      <w:hyperlink r:id="rId17" w:history="1">
        <w:r w:rsidRPr="005720FA">
          <w:rPr>
            <w:rStyle w:val="Hyperlink"/>
          </w:rPr>
          <w:t>https://www.england.nhs.uk/wp-content/uploads/2021/09/22-23-finance-and-payment-engagement_blended-payment.pdf</w:t>
        </w:r>
      </w:hyperlink>
      <w:r>
        <w:t xml:space="preserve"> </w:t>
      </w:r>
    </w:p>
  </w:footnote>
  <w:footnote w:id="24">
    <w:p w14:paraId="173F916C" w14:textId="695A29DC" w:rsidR="00361E6D" w:rsidRPr="008870F6" w:rsidRDefault="00361E6D">
      <w:pPr>
        <w:pStyle w:val="FootnoteText"/>
        <w:rPr>
          <w:color w:val="5B9BD5" w:themeColor="accent5"/>
        </w:rPr>
      </w:pPr>
      <w:r>
        <w:rPr>
          <w:rStyle w:val="FootnoteReference"/>
        </w:rPr>
        <w:footnoteRef/>
      </w:r>
      <w:r>
        <w:t xml:space="preserve"> </w:t>
      </w:r>
      <w:r w:rsidRPr="00B85986">
        <w:rPr>
          <w:color w:val="000000" w:themeColor="text1"/>
        </w:rPr>
        <w:t>According t</w:t>
      </w:r>
      <w:r w:rsidR="00B12528">
        <w:rPr>
          <w:color w:val="000000" w:themeColor="text1"/>
        </w:rPr>
        <w:t xml:space="preserve">o </w:t>
      </w:r>
      <w:r w:rsidRPr="00B85986">
        <w:rPr>
          <w:color w:val="000000" w:themeColor="text1"/>
        </w:rPr>
        <w:t>NHSE</w:t>
      </w:r>
      <w:r w:rsidR="00B12528">
        <w:rPr>
          <w:color w:val="000000" w:themeColor="text1"/>
        </w:rPr>
        <w:t xml:space="preserve">, </w:t>
      </w:r>
      <w:r>
        <w:t xml:space="preserve"> </w:t>
      </w:r>
      <w:r w:rsidRPr="000D4FB9">
        <w:t xml:space="preserve">Best </w:t>
      </w:r>
      <w:r w:rsidR="00B12528">
        <w:t>Practice</w:t>
      </w:r>
      <w:r w:rsidRPr="000D4FB9">
        <w:t xml:space="preserve"> </w:t>
      </w:r>
      <w:r w:rsidR="00B12528">
        <w:t>Tariffs</w:t>
      </w:r>
      <w:r w:rsidRPr="000D4FB9">
        <w:t xml:space="preserve"> (BPTs) help the NHS to improve </w:t>
      </w:r>
      <w:r w:rsidR="00A4524A">
        <w:t>‘</w:t>
      </w:r>
      <w:r w:rsidRPr="000D4FB9">
        <w:t>quality</w:t>
      </w:r>
      <w:r w:rsidR="00A4524A">
        <w:t>’</w:t>
      </w:r>
      <w:r w:rsidRPr="000D4FB9">
        <w:t xml:space="preserve"> by </w:t>
      </w:r>
      <w:r w:rsidRPr="00252E82">
        <w:rPr>
          <w:color w:val="000000" w:themeColor="text1"/>
        </w:rPr>
        <w:t xml:space="preserve">reducing </w:t>
      </w:r>
      <w:r w:rsidR="00641CEC">
        <w:rPr>
          <w:color w:val="000000" w:themeColor="text1"/>
        </w:rPr>
        <w:t xml:space="preserve">‘unwarranted </w:t>
      </w:r>
      <w:r w:rsidRPr="00252E82">
        <w:rPr>
          <w:color w:val="000000" w:themeColor="text1"/>
        </w:rPr>
        <w:t>variation</w:t>
      </w:r>
      <w:r w:rsidR="00641CEC">
        <w:rPr>
          <w:color w:val="000000" w:themeColor="text1"/>
        </w:rPr>
        <w:t>’</w:t>
      </w:r>
      <w:r w:rsidRPr="00252E82">
        <w:rPr>
          <w:color w:val="000000" w:themeColor="text1"/>
        </w:rPr>
        <w:t xml:space="preserve"> </w:t>
      </w:r>
      <w:r w:rsidRPr="000D4FB9">
        <w:t>and universalising best practice. The aim is to have tariffs that are structured and priced appropriately</w:t>
      </w:r>
      <w:r>
        <w:t xml:space="preserve"> </w:t>
      </w:r>
      <w:r w:rsidRPr="000D4FB9">
        <w:t xml:space="preserve"> to incentivise and adequately reimburse providers for </w:t>
      </w:r>
      <w:r>
        <w:t>adopting the new models of care/ways of working</w:t>
      </w:r>
      <w:r w:rsidR="001464AD">
        <w:t xml:space="preserve"> -see paper on ‘value’.</w:t>
      </w:r>
    </w:p>
  </w:footnote>
  <w:footnote w:id="25">
    <w:p w14:paraId="7CBA8B23" w14:textId="02EF362E" w:rsidR="00361E6D" w:rsidRDefault="00361E6D">
      <w:pPr>
        <w:pStyle w:val="FootnoteText"/>
      </w:pPr>
      <w:r>
        <w:rPr>
          <w:rStyle w:val="FootnoteReference"/>
        </w:rPr>
        <w:footnoteRef/>
      </w:r>
      <w:r>
        <w:t xml:space="preserve"> </w:t>
      </w:r>
      <w:r w:rsidRPr="00F07C49">
        <w:t xml:space="preserve">CQUINs </w:t>
      </w:r>
      <w:r>
        <w:t xml:space="preserve">(Commissioning for Quality and Innovation) </w:t>
      </w:r>
      <w:r w:rsidRPr="00F07C49">
        <w:t xml:space="preserve">are extra </w:t>
      </w:r>
      <w:r w:rsidR="008476A8">
        <w:t>‘</w:t>
      </w:r>
      <w:r w:rsidRPr="00F07C49">
        <w:t>quality</w:t>
      </w:r>
      <w:r w:rsidR="008476A8">
        <w:t>’</w:t>
      </w:r>
      <w:r w:rsidRPr="00F07C49">
        <w:t xml:space="preserve"> improvement goals that can </w:t>
      </w:r>
      <w:r>
        <w:t xml:space="preserve">be </w:t>
      </w:r>
      <w:r w:rsidRPr="00F07C49">
        <w:t>agree</w:t>
      </w:r>
      <w:r>
        <w:t xml:space="preserve">d; </w:t>
      </w:r>
      <w:r w:rsidRPr="00F07C49">
        <w:t xml:space="preserve">there is a financial incentive to achieve those </w:t>
      </w:r>
      <w:r>
        <w:t>goals</w:t>
      </w:r>
      <w:r w:rsidRPr="00F07C49">
        <w:t>.</w:t>
      </w:r>
    </w:p>
  </w:footnote>
  <w:footnote w:id="26">
    <w:p w14:paraId="1B78B2AE" w14:textId="0D12ACFF" w:rsidR="00361E6D" w:rsidRDefault="00361E6D">
      <w:pPr>
        <w:pStyle w:val="FootnoteText"/>
      </w:pPr>
      <w:r>
        <w:rPr>
          <w:rStyle w:val="FootnoteReference"/>
        </w:rPr>
        <w:footnoteRef/>
      </w:r>
      <w:r>
        <w:t xml:space="preserve"> </w:t>
      </w:r>
      <w:hyperlink r:id="rId18" w:history="1">
        <w:r w:rsidRPr="005720FA">
          <w:rPr>
            <w:rStyle w:val="Hyperlink"/>
          </w:rPr>
          <w:t>https://www.strategyunitwm.nhs.uk/sites/default/files/2018-06/Risk%20and%20Reward%20Sharing%20for%20NHS%20Integrated%20Care%20Systems%20-%20180605_0.pdf</w:t>
        </w:r>
      </w:hyperlink>
      <w:r>
        <w:t xml:space="preserve"> </w:t>
      </w:r>
    </w:p>
  </w:footnote>
  <w:footnote w:id="27">
    <w:p w14:paraId="006B8585" w14:textId="77777777" w:rsidR="00361E6D" w:rsidRDefault="00361E6D">
      <w:pPr>
        <w:pStyle w:val="FootnoteText"/>
      </w:pPr>
      <w:r>
        <w:rPr>
          <w:rStyle w:val="FootnoteReference"/>
        </w:rPr>
        <w:footnoteRef/>
      </w:r>
      <w:r>
        <w:t xml:space="preserve"> </w:t>
      </w:r>
      <w:hyperlink r:id="rId19" w:history="1">
        <w:r w:rsidRPr="001129D8">
          <w:rPr>
            <w:rStyle w:val="Hyperlink"/>
          </w:rPr>
          <w:t>https://tavistockandportman.nhs.uk/about-us/governance/cquin/</w:t>
        </w:r>
      </w:hyperlink>
      <w:r>
        <w:t xml:space="preserve"> </w:t>
      </w:r>
    </w:p>
  </w:footnote>
  <w:footnote w:id="28">
    <w:p w14:paraId="37EDFDA8" w14:textId="77777777" w:rsidR="00361E6D" w:rsidRPr="005729CF" w:rsidRDefault="00361E6D" w:rsidP="005729CF">
      <w:pPr>
        <w:spacing w:before="6" w:line="240" w:lineRule="exact"/>
        <w:rPr>
          <w:rFonts w:eastAsia="Times New Roman" w:cs="Arial"/>
          <w:sz w:val="20"/>
          <w:szCs w:val="20"/>
          <w:lang w:val="en-US" w:eastAsia="en-US"/>
        </w:rPr>
      </w:pPr>
      <w:r>
        <w:rPr>
          <w:rStyle w:val="FootnoteReference"/>
        </w:rPr>
        <w:footnoteRef/>
      </w:r>
      <w:r>
        <w:t xml:space="preserve"> </w:t>
      </w:r>
      <w:r w:rsidRPr="00D27447">
        <w:rPr>
          <w:rFonts w:eastAsia="Times New Roman" w:cs="Arial"/>
          <w:sz w:val="20"/>
          <w:szCs w:val="20"/>
          <w:lang w:val="en-US" w:eastAsia="en-US"/>
        </w:rPr>
        <w:t>Teaching trust boasts £76m surplus after asset sales and STF bonus. Lawrence Dunhill, Health Services Journal, 10th May 2018.</w:t>
      </w:r>
    </w:p>
  </w:footnote>
  <w:footnote w:id="29">
    <w:p w14:paraId="4028F4AB" w14:textId="77777777" w:rsidR="00361E6D" w:rsidRPr="00B405EB" w:rsidRDefault="00361E6D">
      <w:pPr>
        <w:pStyle w:val="FootnoteText"/>
      </w:pPr>
      <w:r>
        <w:rPr>
          <w:rStyle w:val="FootnoteReference"/>
        </w:rPr>
        <w:footnoteRef/>
      </w:r>
      <w:r>
        <w:t xml:space="preserve"> </w:t>
      </w:r>
      <w:r w:rsidRPr="00B405EB">
        <w:rPr>
          <w:rFonts w:cs="Arial"/>
        </w:rPr>
        <w:t>Trust's ﬁnancial position £60m worse than expected after audit judgement. Lawrence Dunhill, HSJ,15th June 2017.</w:t>
      </w:r>
    </w:p>
  </w:footnote>
  <w:footnote w:id="30">
    <w:p w14:paraId="31071881" w14:textId="1F420DC1" w:rsidR="00687F9F" w:rsidRDefault="00687F9F">
      <w:pPr>
        <w:pStyle w:val="FootnoteText"/>
      </w:pPr>
      <w:r>
        <w:rPr>
          <w:rStyle w:val="FootnoteReference"/>
        </w:rPr>
        <w:footnoteRef/>
      </w:r>
      <w:r>
        <w:t xml:space="preserve"> </w:t>
      </w:r>
      <w:hyperlink r:id="rId20" w:history="1">
        <w:r w:rsidRPr="003073BB">
          <w:rPr>
            <w:rStyle w:val="Hyperlink"/>
          </w:rPr>
          <w:t>https://blogs.sph.harvard.edu/ashish-jha/2016/08/30/aco-winners-and-losers-a-quick-take/</w:t>
        </w:r>
      </w:hyperlink>
    </w:p>
  </w:footnote>
  <w:footnote w:id="31">
    <w:p w14:paraId="683A0FDA" w14:textId="77777777" w:rsidR="00361E6D" w:rsidRDefault="00361E6D">
      <w:pPr>
        <w:pStyle w:val="FootnoteText"/>
      </w:pPr>
      <w:r>
        <w:rPr>
          <w:rStyle w:val="FootnoteReference"/>
        </w:rPr>
        <w:footnoteRef/>
      </w:r>
      <w:r>
        <w:t xml:space="preserve"> </w:t>
      </w:r>
      <w:hyperlink r:id="rId21" w:history="1">
        <w:r w:rsidRPr="003073BB">
          <w:rPr>
            <w:rStyle w:val="Hyperlink"/>
          </w:rPr>
          <w:t>https://www.england.nhs.uk/wp-content/uploads/2021/09/Context-for-finances-and-payment-for-2022-23.pdf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855"/>
    <w:multiLevelType w:val="hybridMultilevel"/>
    <w:tmpl w:val="0F349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D136A"/>
    <w:multiLevelType w:val="hybridMultilevel"/>
    <w:tmpl w:val="8A240C74"/>
    <w:lvl w:ilvl="0" w:tplc="0CF0C36C">
      <w:start w:val="1"/>
      <w:numFmt w:val="lowerRoman"/>
      <w:lvlText w:val="%1)"/>
      <w:lvlJc w:val="left"/>
      <w:pPr>
        <w:ind w:left="1440" w:hanging="360"/>
      </w:pPr>
      <w:rPr>
        <w:rFonts w:asciiTheme="minorHAnsi" w:eastAsiaTheme="minorEastAsia"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B04B8F"/>
    <w:multiLevelType w:val="hybridMultilevel"/>
    <w:tmpl w:val="F64A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B356B"/>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6405"/>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7413"/>
    <w:multiLevelType w:val="hybridMultilevel"/>
    <w:tmpl w:val="8B0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F4FF7"/>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26FCA"/>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01C2E"/>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5C6667"/>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97071"/>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052D8"/>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4D22DB"/>
    <w:multiLevelType w:val="hybridMultilevel"/>
    <w:tmpl w:val="DE4E0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EF60D8"/>
    <w:multiLevelType w:val="multilevel"/>
    <w:tmpl w:val="14E4C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051461"/>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087DC0"/>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043A84"/>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3C0D73"/>
    <w:multiLevelType w:val="hybridMultilevel"/>
    <w:tmpl w:val="30E888AC"/>
    <w:lvl w:ilvl="0" w:tplc="AC385EC0">
      <w:start w:val="1"/>
      <w:numFmt w:val="bullet"/>
      <w:lvlText w:val="•"/>
      <w:lvlJc w:val="left"/>
      <w:pPr>
        <w:tabs>
          <w:tab w:val="num" w:pos="720"/>
        </w:tabs>
        <w:ind w:left="720" w:hanging="360"/>
      </w:pPr>
      <w:rPr>
        <w:rFonts w:ascii="Arial" w:hAnsi="Arial" w:hint="default"/>
      </w:rPr>
    </w:lvl>
    <w:lvl w:ilvl="1" w:tplc="751AEB70" w:tentative="1">
      <w:start w:val="1"/>
      <w:numFmt w:val="bullet"/>
      <w:lvlText w:val="•"/>
      <w:lvlJc w:val="left"/>
      <w:pPr>
        <w:tabs>
          <w:tab w:val="num" w:pos="1440"/>
        </w:tabs>
        <w:ind w:left="1440" w:hanging="360"/>
      </w:pPr>
      <w:rPr>
        <w:rFonts w:ascii="Arial" w:hAnsi="Arial" w:hint="default"/>
      </w:rPr>
    </w:lvl>
    <w:lvl w:ilvl="2" w:tplc="B4A01564" w:tentative="1">
      <w:start w:val="1"/>
      <w:numFmt w:val="bullet"/>
      <w:lvlText w:val="•"/>
      <w:lvlJc w:val="left"/>
      <w:pPr>
        <w:tabs>
          <w:tab w:val="num" w:pos="2160"/>
        </w:tabs>
        <w:ind w:left="2160" w:hanging="360"/>
      </w:pPr>
      <w:rPr>
        <w:rFonts w:ascii="Arial" w:hAnsi="Arial" w:hint="default"/>
      </w:rPr>
    </w:lvl>
    <w:lvl w:ilvl="3" w:tplc="FB48A8E8" w:tentative="1">
      <w:start w:val="1"/>
      <w:numFmt w:val="bullet"/>
      <w:lvlText w:val="•"/>
      <w:lvlJc w:val="left"/>
      <w:pPr>
        <w:tabs>
          <w:tab w:val="num" w:pos="2880"/>
        </w:tabs>
        <w:ind w:left="2880" w:hanging="360"/>
      </w:pPr>
      <w:rPr>
        <w:rFonts w:ascii="Arial" w:hAnsi="Arial" w:hint="default"/>
      </w:rPr>
    </w:lvl>
    <w:lvl w:ilvl="4" w:tplc="4B324024" w:tentative="1">
      <w:start w:val="1"/>
      <w:numFmt w:val="bullet"/>
      <w:lvlText w:val="•"/>
      <w:lvlJc w:val="left"/>
      <w:pPr>
        <w:tabs>
          <w:tab w:val="num" w:pos="3600"/>
        </w:tabs>
        <w:ind w:left="3600" w:hanging="360"/>
      </w:pPr>
      <w:rPr>
        <w:rFonts w:ascii="Arial" w:hAnsi="Arial" w:hint="default"/>
      </w:rPr>
    </w:lvl>
    <w:lvl w:ilvl="5" w:tplc="09C2ABF6" w:tentative="1">
      <w:start w:val="1"/>
      <w:numFmt w:val="bullet"/>
      <w:lvlText w:val="•"/>
      <w:lvlJc w:val="left"/>
      <w:pPr>
        <w:tabs>
          <w:tab w:val="num" w:pos="4320"/>
        </w:tabs>
        <w:ind w:left="4320" w:hanging="360"/>
      </w:pPr>
      <w:rPr>
        <w:rFonts w:ascii="Arial" w:hAnsi="Arial" w:hint="default"/>
      </w:rPr>
    </w:lvl>
    <w:lvl w:ilvl="6" w:tplc="95D48436" w:tentative="1">
      <w:start w:val="1"/>
      <w:numFmt w:val="bullet"/>
      <w:lvlText w:val="•"/>
      <w:lvlJc w:val="left"/>
      <w:pPr>
        <w:tabs>
          <w:tab w:val="num" w:pos="5040"/>
        </w:tabs>
        <w:ind w:left="5040" w:hanging="360"/>
      </w:pPr>
      <w:rPr>
        <w:rFonts w:ascii="Arial" w:hAnsi="Arial" w:hint="default"/>
      </w:rPr>
    </w:lvl>
    <w:lvl w:ilvl="7" w:tplc="6CE4CB58" w:tentative="1">
      <w:start w:val="1"/>
      <w:numFmt w:val="bullet"/>
      <w:lvlText w:val="•"/>
      <w:lvlJc w:val="left"/>
      <w:pPr>
        <w:tabs>
          <w:tab w:val="num" w:pos="5760"/>
        </w:tabs>
        <w:ind w:left="5760" w:hanging="360"/>
      </w:pPr>
      <w:rPr>
        <w:rFonts w:ascii="Arial" w:hAnsi="Arial" w:hint="default"/>
      </w:rPr>
    </w:lvl>
    <w:lvl w:ilvl="8" w:tplc="6F6020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7AC284F"/>
    <w:multiLevelType w:val="hybridMultilevel"/>
    <w:tmpl w:val="329AB28C"/>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347CE2"/>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D2B0A"/>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9A4618"/>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34A08"/>
    <w:multiLevelType w:val="hybridMultilevel"/>
    <w:tmpl w:val="C6485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DF519C2"/>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AE3E66"/>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B66A87"/>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3"/>
  </w:num>
  <w:num w:numId="3">
    <w:abstractNumId w:val="22"/>
  </w:num>
  <w:num w:numId="4">
    <w:abstractNumId w:val="1"/>
  </w:num>
  <w:num w:numId="5">
    <w:abstractNumId w:val="19"/>
  </w:num>
  <w:num w:numId="6">
    <w:abstractNumId w:val="6"/>
  </w:num>
  <w:num w:numId="7">
    <w:abstractNumId w:val="10"/>
  </w:num>
  <w:num w:numId="8">
    <w:abstractNumId w:val="21"/>
  </w:num>
  <w:num w:numId="9">
    <w:abstractNumId w:val="25"/>
  </w:num>
  <w:num w:numId="10">
    <w:abstractNumId w:val="9"/>
  </w:num>
  <w:num w:numId="11">
    <w:abstractNumId w:val="2"/>
  </w:num>
  <w:num w:numId="12">
    <w:abstractNumId w:val="8"/>
  </w:num>
  <w:num w:numId="13">
    <w:abstractNumId w:val="23"/>
  </w:num>
  <w:num w:numId="14">
    <w:abstractNumId w:val="14"/>
  </w:num>
  <w:num w:numId="15">
    <w:abstractNumId w:val="15"/>
  </w:num>
  <w:num w:numId="16">
    <w:abstractNumId w:val="20"/>
  </w:num>
  <w:num w:numId="17">
    <w:abstractNumId w:val="3"/>
  </w:num>
  <w:num w:numId="18">
    <w:abstractNumId w:val="18"/>
  </w:num>
  <w:num w:numId="19">
    <w:abstractNumId w:val="7"/>
  </w:num>
  <w:num w:numId="20">
    <w:abstractNumId w:val="11"/>
  </w:num>
  <w:num w:numId="21">
    <w:abstractNumId w:val="16"/>
  </w:num>
  <w:num w:numId="22">
    <w:abstractNumId w:val="17"/>
  </w:num>
  <w:num w:numId="23">
    <w:abstractNumId w:val="24"/>
  </w:num>
  <w:num w:numId="24">
    <w:abstractNumId w:val="5"/>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0B"/>
    <w:rsid w:val="00000ED5"/>
    <w:rsid w:val="00003594"/>
    <w:rsid w:val="0000526D"/>
    <w:rsid w:val="000079D6"/>
    <w:rsid w:val="00007F78"/>
    <w:rsid w:val="00010CEE"/>
    <w:rsid w:val="00011402"/>
    <w:rsid w:val="0001218C"/>
    <w:rsid w:val="000127D1"/>
    <w:rsid w:val="00016030"/>
    <w:rsid w:val="00016573"/>
    <w:rsid w:val="00020AA5"/>
    <w:rsid w:val="00022D50"/>
    <w:rsid w:val="00027D47"/>
    <w:rsid w:val="000379C6"/>
    <w:rsid w:val="00042350"/>
    <w:rsid w:val="00043785"/>
    <w:rsid w:val="00043792"/>
    <w:rsid w:val="000448CD"/>
    <w:rsid w:val="00044C3B"/>
    <w:rsid w:val="00045BEB"/>
    <w:rsid w:val="00046A4B"/>
    <w:rsid w:val="00047D95"/>
    <w:rsid w:val="00051CFC"/>
    <w:rsid w:val="00052466"/>
    <w:rsid w:val="00053C6E"/>
    <w:rsid w:val="000556CF"/>
    <w:rsid w:val="0005697F"/>
    <w:rsid w:val="000570F2"/>
    <w:rsid w:val="00057146"/>
    <w:rsid w:val="0006007C"/>
    <w:rsid w:val="00064AAF"/>
    <w:rsid w:val="000651B3"/>
    <w:rsid w:val="000667FB"/>
    <w:rsid w:val="0007053E"/>
    <w:rsid w:val="00073FC4"/>
    <w:rsid w:val="000761CC"/>
    <w:rsid w:val="00077C72"/>
    <w:rsid w:val="0008498C"/>
    <w:rsid w:val="00086492"/>
    <w:rsid w:val="00091821"/>
    <w:rsid w:val="00091BAB"/>
    <w:rsid w:val="00093801"/>
    <w:rsid w:val="00094BAC"/>
    <w:rsid w:val="00095D81"/>
    <w:rsid w:val="000A053C"/>
    <w:rsid w:val="000A0B0E"/>
    <w:rsid w:val="000A1E7E"/>
    <w:rsid w:val="000B2845"/>
    <w:rsid w:val="000B4CC8"/>
    <w:rsid w:val="000B5BCC"/>
    <w:rsid w:val="000B5F19"/>
    <w:rsid w:val="000B6A86"/>
    <w:rsid w:val="000B7681"/>
    <w:rsid w:val="000B78B9"/>
    <w:rsid w:val="000C15FC"/>
    <w:rsid w:val="000D19BD"/>
    <w:rsid w:val="000D2251"/>
    <w:rsid w:val="000D2455"/>
    <w:rsid w:val="000D2786"/>
    <w:rsid w:val="000D341E"/>
    <w:rsid w:val="000D377C"/>
    <w:rsid w:val="000D420D"/>
    <w:rsid w:val="000D6706"/>
    <w:rsid w:val="000D7095"/>
    <w:rsid w:val="000E2C7F"/>
    <w:rsid w:val="000E379E"/>
    <w:rsid w:val="000E4F4C"/>
    <w:rsid w:val="000E5CA3"/>
    <w:rsid w:val="000F27B3"/>
    <w:rsid w:val="000F3CB9"/>
    <w:rsid w:val="001026E9"/>
    <w:rsid w:val="00105159"/>
    <w:rsid w:val="00110126"/>
    <w:rsid w:val="00111E1A"/>
    <w:rsid w:val="00112194"/>
    <w:rsid w:val="00112B25"/>
    <w:rsid w:val="00113806"/>
    <w:rsid w:val="00114EE5"/>
    <w:rsid w:val="001153A0"/>
    <w:rsid w:val="00117833"/>
    <w:rsid w:val="00123A5B"/>
    <w:rsid w:val="001245DB"/>
    <w:rsid w:val="00125E71"/>
    <w:rsid w:val="00134F2F"/>
    <w:rsid w:val="00144625"/>
    <w:rsid w:val="00145B6F"/>
    <w:rsid w:val="001463D8"/>
    <w:rsid w:val="001464AD"/>
    <w:rsid w:val="0014674F"/>
    <w:rsid w:val="0015017B"/>
    <w:rsid w:val="00150B44"/>
    <w:rsid w:val="00152B43"/>
    <w:rsid w:val="00154939"/>
    <w:rsid w:val="00157135"/>
    <w:rsid w:val="00164658"/>
    <w:rsid w:val="00170599"/>
    <w:rsid w:val="0017169F"/>
    <w:rsid w:val="00172BD4"/>
    <w:rsid w:val="00174C3D"/>
    <w:rsid w:val="0017501B"/>
    <w:rsid w:val="00176C29"/>
    <w:rsid w:val="001774ED"/>
    <w:rsid w:val="00180283"/>
    <w:rsid w:val="00183388"/>
    <w:rsid w:val="0018363C"/>
    <w:rsid w:val="0019147A"/>
    <w:rsid w:val="00194900"/>
    <w:rsid w:val="00194DE7"/>
    <w:rsid w:val="001961BD"/>
    <w:rsid w:val="00197499"/>
    <w:rsid w:val="001A2147"/>
    <w:rsid w:val="001A48A4"/>
    <w:rsid w:val="001A4C2A"/>
    <w:rsid w:val="001A79D4"/>
    <w:rsid w:val="001B0065"/>
    <w:rsid w:val="001B0A3C"/>
    <w:rsid w:val="001B53CA"/>
    <w:rsid w:val="001B6159"/>
    <w:rsid w:val="001B6839"/>
    <w:rsid w:val="001B7055"/>
    <w:rsid w:val="001B7D01"/>
    <w:rsid w:val="001C0754"/>
    <w:rsid w:val="001D3BEB"/>
    <w:rsid w:val="001D5CD0"/>
    <w:rsid w:val="001E2325"/>
    <w:rsid w:val="001E34D5"/>
    <w:rsid w:val="001E6672"/>
    <w:rsid w:val="001F0597"/>
    <w:rsid w:val="001F7A11"/>
    <w:rsid w:val="00212E06"/>
    <w:rsid w:val="00216C0F"/>
    <w:rsid w:val="00220385"/>
    <w:rsid w:val="0022039F"/>
    <w:rsid w:val="002242D5"/>
    <w:rsid w:val="0022657A"/>
    <w:rsid w:val="002413AA"/>
    <w:rsid w:val="0024172D"/>
    <w:rsid w:val="002434A7"/>
    <w:rsid w:val="002443C3"/>
    <w:rsid w:val="00244FA6"/>
    <w:rsid w:val="002450AD"/>
    <w:rsid w:val="00247607"/>
    <w:rsid w:val="0024790B"/>
    <w:rsid w:val="00247E0A"/>
    <w:rsid w:val="00252E82"/>
    <w:rsid w:val="002541A5"/>
    <w:rsid w:val="00256356"/>
    <w:rsid w:val="00256376"/>
    <w:rsid w:val="00257873"/>
    <w:rsid w:val="00260088"/>
    <w:rsid w:val="002635E0"/>
    <w:rsid w:val="002661AF"/>
    <w:rsid w:val="00274C1F"/>
    <w:rsid w:val="002751D9"/>
    <w:rsid w:val="0027531F"/>
    <w:rsid w:val="00275EA3"/>
    <w:rsid w:val="0027627F"/>
    <w:rsid w:val="0027728D"/>
    <w:rsid w:val="00280A07"/>
    <w:rsid w:val="002847C9"/>
    <w:rsid w:val="00285685"/>
    <w:rsid w:val="0028755E"/>
    <w:rsid w:val="0029047F"/>
    <w:rsid w:val="00292837"/>
    <w:rsid w:val="002934A0"/>
    <w:rsid w:val="0029361F"/>
    <w:rsid w:val="00294456"/>
    <w:rsid w:val="00295B25"/>
    <w:rsid w:val="00295DDA"/>
    <w:rsid w:val="00297972"/>
    <w:rsid w:val="002A02BA"/>
    <w:rsid w:val="002A19D0"/>
    <w:rsid w:val="002A3123"/>
    <w:rsid w:val="002A53B3"/>
    <w:rsid w:val="002A5F1D"/>
    <w:rsid w:val="002A638C"/>
    <w:rsid w:val="002B1072"/>
    <w:rsid w:val="002B4844"/>
    <w:rsid w:val="002B62D6"/>
    <w:rsid w:val="002C0812"/>
    <w:rsid w:val="002C0FF2"/>
    <w:rsid w:val="002C10CB"/>
    <w:rsid w:val="002C1E2A"/>
    <w:rsid w:val="002C599C"/>
    <w:rsid w:val="002D23EC"/>
    <w:rsid w:val="002D487F"/>
    <w:rsid w:val="002D4A9A"/>
    <w:rsid w:val="002E141F"/>
    <w:rsid w:val="002E28E0"/>
    <w:rsid w:val="002E3B34"/>
    <w:rsid w:val="002E558D"/>
    <w:rsid w:val="002E5BE1"/>
    <w:rsid w:val="002E639F"/>
    <w:rsid w:val="002F0049"/>
    <w:rsid w:val="002F051C"/>
    <w:rsid w:val="002F08DC"/>
    <w:rsid w:val="002F23A1"/>
    <w:rsid w:val="002F342F"/>
    <w:rsid w:val="002F3DC5"/>
    <w:rsid w:val="002F58A0"/>
    <w:rsid w:val="002F6B0B"/>
    <w:rsid w:val="00300276"/>
    <w:rsid w:val="00300C05"/>
    <w:rsid w:val="00302F20"/>
    <w:rsid w:val="00304A25"/>
    <w:rsid w:val="00304A3C"/>
    <w:rsid w:val="00304EEA"/>
    <w:rsid w:val="0030595A"/>
    <w:rsid w:val="00307334"/>
    <w:rsid w:val="00307F6E"/>
    <w:rsid w:val="00315EBC"/>
    <w:rsid w:val="00317A6E"/>
    <w:rsid w:val="00317C47"/>
    <w:rsid w:val="003226B5"/>
    <w:rsid w:val="00322CB5"/>
    <w:rsid w:val="003234D3"/>
    <w:rsid w:val="003254B0"/>
    <w:rsid w:val="00326EDC"/>
    <w:rsid w:val="00330953"/>
    <w:rsid w:val="003327A5"/>
    <w:rsid w:val="003353DD"/>
    <w:rsid w:val="003375F6"/>
    <w:rsid w:val="003412A3"/>
    <w:rsid w:val="00342D9C"/>
    <w:rsid w:val="003435B6"/>
    <w:rsid w:val="00347109"/>
    <w:rsid w:val="00347CEF"/>
    <w:rsid w:val="003503C3"/>
    <w:rsid w:val="0035225A"/>
    <w:rsid w:val="003536F8"/>
    <w:rsid w:val="003562BB"/>
    <w:rsid w:val="0035665E"/>
    <w:rsid w:val="003604D2"/>
    <w:rsid w:val="00361E6D"/>
    <w:rsid w:val="003628EE"/>
    <w:rsid w:val="003649C9"/>
    <w:rsid w:val="0037228D"/>
    <w:rsid w:val="00373776"/>
    <w:rsid w:val="003745D9"/>
    <w:rsid w:val="00374DEA"/>
    <w:rsid w:val="00377214"/>
    <w:rsid w:val="00377750"/>
    <w:rsid w:val="00383A3C"/>
    <w:rsid w:val="0039657D"/>
    <w:rsid w:val="00397E0C"/>
    <w:rsid w:val="003A0941"/>
    <w:rsid w:val="003A2327"/>
    <w:rsid w:val="003A2537"/>
    <w:rsid w:val="003A2661"/>
    <w:rsid w:val="003A74D2"/>
    <w:rsid w:val="003A7FDB"/>
    <w:rsid w:val="003B188E"/>
    <w:rsid w:val="003B1CCA"/>
    <w:rsid w:val="003B1D06"/>
    <w:rsid w:val="003B264C"/>
    <w:rsid w:val="003B6344"/>
    <w:rsid w:val="003B6A59"/>
    <w:rsid w:val="003C02C3"/>
    <w:rsid w:val="003C16BF"/>
    <w:rsid w:val="003C228B"/>
    <w:rsid w:val="003C23E0"/>
    <w:rsid w:val="003C4135"/>
    <w:rsid w:val="003C5787"/>
    <w:rsid w:val="003C57F5"/>
    <w:rsid w:val="003C7385"/>
    <w:rsid w:val="003C7AA0"/>
    <w:rsid w:val="003D0608"/>
    <w:rsid w:val="003D156E"/>
    <w:rsid w:val="003D2C68"/>
    <w:rsid w:val="003E04F4"/>
    <w:rsid w:val="003E196C"/>
    <w:rsid w:val="003E42B7"/>
    <w:rsid w:val="003F03F8"/>
    <w:rsid w:val="003F3448"/>
    <w:rsid w:val="003F3AD1"/>
    <w:rsid w:val="003F4E22"/>
    <w:rsid w:val="003F5310"/>
    <w:rsid w:val="003F62D7"/>
    <w:rsid w:val="00401CB9"/>
    <w:rsid w:val="00401F38"/>
    <w:rsid w:val="004022D2"/>
    <w:rsid w:val="004046ED"/>
    <w:rsid w:val="00405C70"/>
    <w:rsid w:val="00405D15"/>
    <w:rsid w:val="00406041"/>
    <w:rsid w:val="00413146"/>
    <w:rsid w:val="00413886"/>
    <w:rsid w:val="0042029F"/>
    <w:rsid w:val="004211BC"/>
    <w:rsid w:val="00421EFB"/>
    <w:rsid w:val="0042201D"/>
    <w:rsid w:val="0042446B"/>
    <w:rsid w:val="004274B2"/>
    <w:rsid w:val="0043052A"/>
    <w:rsid w:val="0043670C"/>
    <w:rsid w:val="00436980"/>
    <w:rsid w:val="00437AB9"/>
    <w:rsid w:val="00446241"/>
    <w:rsid w:val="00446A85"/>
    <w:rsid w:val="004476FD"/>
    <w:rsid w:val="00451DE0"/>
    <w:rsid w:val="0045381B"/>
    <w:rsid w:val="004579DA"/>
    <w:rsid w:val="00467CB6"/>
    <w:rsid w:val="00471F11"/>
    <w:rsid w:val="004725A7"/>
    <w:rsid w:val="00472DF2"/>
    <w:rsid w:val="00476628"/>
    <w:rsid w:val="00476686"/>
    <w:rsid w:val="0047766C"/>
    <w:rsid w:val="00480391"/>
    <w:rsid w:val="00482428"/>
    <w:rsid w:val="0048298B"/>
    <w:rsid w:val="00484660"/>
    <w:rsid w:val="00491FF5"/>
    <w:rsid w:val="004940CC"/>
    <w:rsid w:val="004A14BC"/>
    <w:rsid w:val="004A5A08"/>
    <w:rsid w:val="004A6118"/>
    <w:rsid w:val="004A6D2A"/>
    <w:rsid w:val="004B07D9"/>
    <w:rsid w:val="004B572F"/>
    <w:rsid w:val="004B5EB4"/>
    <w:rsid w:val="004C0107"/>
    <w:rsid w:val="004C0136"/>
    <w:rsid w:val="004C0525"/>
    <w:rsid w:val="004C0D63"/>
    <w:rsid w:val="004C13FE"/>
    <w:rsid w:val="004C239F"/>
    <w:rsid w:val="004C38E8"/>
    <w:rsid w:val="004C6304"/>
    <w:rsid w:val="004C7AC3"/>
    <w:rsid w:val="004D16F2"/>
    <w:rsid w:val="004D2820"/>
    <w:rsid w:val="004D2AD8"/>
    <w:rsid w:val="004D4BC7"/>
    <w:rsid w:val="004E244A"/>
    <w:rsid w:val="004E3F9A"/>
    <w:rsid w:val="004E547E"/>
    <w:rsid w:val="004E598F"/>
    <w:rsid w:val="004E6424"/>
    <w:rsid w:val="004E6732"/>
    <w:rsid w:val="004E78CA"/>
    <w:rsid w:val="004F01F0"/>
    <w:rsid w:val="004F261B"/>
    <w:rsid w:val="004F2D64"/>
    <w:rsid w:val="004F30FB"/>
    <w:rsid w:val="004F47EA"/>
    <w:rsid w:val="0050344A"/>
    <w:rsid w:val="0050401E"/>
    <w:rsid w:val="00505A75"/>
    <w:rsid w:val="00506394"/>
    <w:rsid w:val="00506DD7"/>
    <w:rsid w:val="005104E3"/>
    <w:rsid w:val="005115A9"/>
    <w:rsid w:val="00512D8A"/>
    <w:rsid w:val="005142A3"/>
    <w:rsid w:val="005147A1"/>
    <w:rsid w:val="00514DE1"/>
    <w:rsid w:val="0051764C"/>
    <w:rsid w:val="0052044C"/>
    <w:rsid w:val="00520B7B"/>
    <w:rsid w:val="00521F22"/>
    <w:rsid w:val="00522064"/>
    <w:rsid w:val="00523DC6"/>
    <w:rsid w:val="00524556"/>
    <w:rsid w:val="00524837"/>
    <w:rsid w:val="00525238"/>
    <w:rsid w:val="00530091"/>
    <w:rsid w:val="00530EB5"/>
    <w:rsid w:val="00532DB7"/>
    <w:rsid w:val="0053425A"/>
    <w:rsid w:val="005366E7"/>
    <w:rsid w:val="005376B8"/>
    <w:rsid w:val="00537B11"/>
    <w:rsid w:val="00540552"/>
    <w:rsid w:val="00541620"/>
    <w:rsid w:val="005424E5"/>
    <w:rsid w:val="00546F0E"/>
    <w:rsid w:val="0055136F"/>
    <w:rsid w:val="00553E35"/>
    <w:rsid w:val="00554B74"/>
    <w:rsid w:val="00563546"/>
    <w:rsid w:val="00563702"/>
    <w:rsid w:val="00563CCF"/>
    <w:rsid w:val="00565463"/>
    <w:rsid w:val="00566382"/>
    <w:rsid w:val="00566D49"/>
    <w:rsid w:val="00570DA2"/>
    <w:rsid w:val="00571C49"/>
    <w:rsid w:val="005729CF"/>
    <w:rsid w:val="00574B2A"/>
    <w:rsid w:val="00577F00"/>
    <w:rsid w:val="0058027B"/>
    <w:rsid w:val="00583531"/>
    <w:rsid w:val="00587EFF"/>
    <w:rsid w:val="00590990"/>
    <w:rsid w:val="00592767"/>
    <w:rsid w:val="00594888"/>
    <w:rsid w:val="005953D7"/>
    <w:rsid w:val="00595D77"/>
    <w:rsid w:val="00596F48"/>
    <w:rsid w:val="005A02AA"/>
    <w:rsid w:val="005A4480"/>
    <w:rsid w:val="005A60E9"/>
    <w:rsid w:val="005B156D"/>
    <w:rsid w:val="005B167C"/>
    <w:rsid w:val="005B3D77"/>
    <w:rsid w:val="005B51CF"/>
    <w:rsid w:val="005B6073"/>
    <w:rsid w:val="005B6D76"/>
    <w:rsid w:val="005C1314"/>
    <w:rsid w:val="005C5FF8"/>
    <w:rsid w:val="005D122F"/>
    <w:rsid w:val="005D27DA"/>
    <w:rsid w:val="005D454C"/>
    <w:rsid w:val="005D4D79"/>
    <w:rsid w:val="005D7173"/>
    <w:rsid w:val="005D7711"/>
    <w:rsid w:val="005E0F88"/>
    <w:rsid w:val="005E3186"/>
    <w:rsid w:val="005E752E"/>
    <w:rsid w:val="005F17FB"/>
    <w:rsid w:val="005F302C"/>
    <w:rsid w:val="005F48E0"/>
    <w:rsid w:val="005F4F5E"/>
    <w:rsid w:val="00603D43"/>
    <w:rsid w:val="0060708B"/>
    <w:rsid w:val="00607204"/>
    <w:rsid w:val="006128AB"/>
    <w:rsid w:val="006156E3"/>
    <w:rsid w:val="00615BF7"/>
    <w:rsid w:val="00617B01"/>
    <w:rsid w:val="006223A5"/>
    <w:rsid w:val="006254ED"/>
    <w:rsid w:val="0062735E"/>
    <w:rsid w:val="006306BA"/>
    <w:rsid w:val="006340B2"/>
    <w:rsid w:val="0063580B"/>
    <w:rsid w:val="0063689F"/>
    <w:rsid w:val="0064053C"/>
    <w:rsid w:val="00641C8A"/>
    <w:rsid w:val="00641CEC"/>
    <w:rsid w:val="00644AA2"/>
    <w:rsid w:val="00654A37"/>
    <w:rsid w:val="00656684"/>
    <w:rsid w:val="00656B1D"/>
    <w:rsid w:val="00660408"/>
    <w:rsid w:val="0066258E"/>
    <w:rsid w:val="00663DFE"/>
    <w:rsid w:val="006661E2"/>
    <w:rsid w:val="006662D8"/>
    <w:rsid w:val="0067175B"/>
    <w:rsid w:val="00673EC1"/>
    <w:rsid w:val="00674B06"/>
    <w:rsid w:val="006753A7"/>
    <w:rsid w:val="00675506"/>
    <w:rsid w:val="006762E4"/>
    <w:rsid w:val="006768C1"/>
    <w:rsid w:val="0068061A"/>
    <w:rsid w:val="006861DE"/>
    <w:rsid w:val="00686428"/>
    <w:rsid w:val="00687F9F"/>
    <w:rsid w:val="006918F6"/>
    <w:rsid w:val="00693172"/>
    <w:rsid w:val="00694910"/>
    <w:rsid w:val="006958A1"/>
    <w:rsid w:val="006A0354"/>
    <w:rsid w:val="006A49B8"/>
    <w:rsid w:val="006A7FA7"/>
    <w:rsid w:val="006B0949"/>
    <w:rsid w:val="006B14A3"/>
    <w:rsid w:val="006B1A6B"/>
    <w:rsid w:val="006B4E10"/>
    <w:rsid w:val="006B6E2D"/>
    <w:rsid w:val="006C0685"/>
    <w:rsid w:val="006C0693"/>
    <w:rsid w:val="006C0FA5"/>
    <w:rsid w:val="006C3BF4"/>
    <w:rsid w:val="006C3D22"/>
    <w:rsid w:val="006D181C"/>
    <w:rsid w:val="006D5129"/>
    <w:rsid w:val="006D673B"/>
    <w:rsid w:val="006E052B"/>
    <w:rsid w:val="006E5B1B"/>
    <w:rsid w:val="006E7272"/>
    <w:rsid w:val="006F34AA"/>
    <w:rsid w:val="006F45AB"/>
    <w:rsid w:val="006F661C"/>
    <w:rsid w:val="006F6664"/>
    <w:rsid w:val="00702D34"/>
    <w:rsid w:val="007030DD"/>
    <w:rsid w:val="00706FF0"/>
    <w:rsid w:val="00707618"/>
    <w:rsid w:val="007103F0"/>
    <w:rsid w:val="007129D1"/>
    <w:rsid w:val="00712BCD"/>
    <w:rsid w:val="007210F4"/>
    <w:rsid w:val="0072178C"/>
    <w:rsid w:val="00722517"/>
    <w:rsid w:val="007252FE"/>
    <w:rsid w:val="007253DD"/>
    <w:rsid w:val="00725D2B"/>
    <w:rsid w:val="007272A7"/>
    <w:rsid w:val="00733283"/>
    <w:rsid w:val="00741484"/>
    <w:rsid w:val="0074506F"/>
    <w:rsid w:val="00745A7F"/>
    <w:rsid w:val="00746649"/>
    <w:rsid w:val="00747D13"/>
    <w:rsid w:val="00750686"/>
    <w:rsid w:val="00750CE1"/>
    <w:rsid w:val="00750D07"/>
    <w:rsid w:val="00751EAD"/>
    <w:rsid w:val="00755A02"/>
    <w:rsid w:val="00756DD9"/>
    <w:rsid w:val="00760212"/>
    <w:rsid w:val="007615F0"/>
    <w:rsid w:val="0076342D"/>
    <w:rsid w:val="007669B7"/>
    <w:rsid w:val="00766E5C"/>
    <w:rsid w:val="007714BE"/>
    <w:rsid w:val="007735A5"/>
    <w:rsid w:val="00773FA5"/>
    <w:rsid w:val="00774689"/>
    <w:rsid w:val="00775A42"/>
    <w:rsid w:val="00784776"/>
    <w:rsid w:val="00784EAB"/>
    <w:rsid w:val="00787647"/>
    <w:rsid w:val="007878F0"/>
    <w:rsid w:val="00790956"/>
    <w:rsid w:val="0079187F"/>
    <w:rsid w:val="00793895"/>
    <w:rsid w:val="0079786F"/>
    <w:rsid w:val="00797DEC"/>
    <w:rsid w:val="007A1844"/>
    <w:rsid w:val="007B35B4"/>
    <w:rsid w:val="007B469E"/>
    <w:rsid w:val="007B4A06"/>
    <w:rsid w:val="007B4A93"/>
    <w:rsid w:val="007B4D94"/>
    <w:rsid w:val="007B77CC"/>
    <w:rsid w:val="007C1ED6"/>
    <w:rsid w:val="007C4E41"/>
    <w:rsid w:val="007D2E77"/>
    <w:rsid w:val="007D4C6D"/>
    <w:rsid w:val="007D6743"/>
    <w:rsid w:val="007D72A9"/>
    <w:rsid w:val="007D73F7"/>
    <w:rsid w:val="007E0DA0"/>
    <w:rsid w:val="007E195A"/>
    <w:rsid w:val="007E3C2C"/>
    <w:rsid w:val="007E5E1F"/>
    <w:rsid w:val="007E746F"/>
    <w:rsid w:val="007E7BC1"/>
    <w:rsid w:val="007E7E06"/>
    <w:rsid w:val="007F0372"/>
    <w:rsid w:val="007F1705"/>
    <w:rsid w:val="007F4E8A"/>
    <w:rsid w:val="007F681F"/>
    <w:rsid w:val="007F6D4D"/>
    <w:rsid w:val="007F6E6B"/>
    <w:rsid w:val="0080157C"/>
    <w:rsid w:val="0080171D"/>
    <w:rsid w:val="00805849"/>
    <w:rsid w:val="008079AA"/>
    <w:rsid w:val="00811036"/>
    <w:rsid w:val="008112B4"/>
    <w:rsid w:val="00812F17"/>
    <w:rsid w:val="00813FD3"/>
    <w:rsid w:val="00814AAE"/>
    <w:rsid w:val="0081690E"/>
    <w:rsid w:val="00817DD5"/>
    <w:rsid w:val="008200A2"/>
    <w:rsid w:val="0082220D"/>
    <w:rsid w:val="0082258B"/>
    <w:rsid w:val="008249B0"/>
    <w:rsid w:val="00825D80"/>
    <w:rsid w:val="00832083"/>
    <w:rsid w:val="0083630A"/>
    <w:rsid w:val="0083648B"/>
    <w:rsid w:val="008409AA"/>
    <w:rsid w:val="0084256B"/>
    <w:rsid w:val="00843ECF"/>
    <w:rsid w:val="00844071"/>
    <w:rsid w:val="00846743"/>
    <w:rsid w:val="008476A8"/>
    <w:rsid w:val="008506A6"/>
    <w:rsid w:val="00850DB0"/>
    <w:rsid w:val="0085416B"/>
    <w:rsid w:val="00854432"/>
    <w:rsid w:val="00854B97"/>
    <w:rsid w:val="008566B7"/>
    <w:rsid w:val="00857A36"/>
    <w:rsid w:val="0086029B"/>
    <w:rsid w:val="00862838"/>
    <w:rsid w:val="00870F8F"/>
    <w:rsid w:val="008719AB"/>
    <w:rsid w:val="00874781"/>
    <w:rsid w:val="0087496D"/>
    <w:rsid w:val="00875144"/>
    <w:rsid w:val="008756CF"/>
    <w:rsid w:val="00875EB0"/>
    <w:rsid w:val="00877B03"/>
    <w:rsid w:val="00877DA0"/>
    <w:rsid w:val="00880082"/>
    <w:rsid w:val="008808B4"/>
    <w:rsid w:val="008814ED"/>
    <w:rsid w:val="00884E30"/>
    <w:rsid w:val="00885A1B"/>
    <w:rsid w:val="008870F6"/>
    <w:rsid w:val="00887468"/>
    <w:rsid w:val="00893F81"/>
    <w:rsid w:val="00896072"/>
    <w:rsid w:val="008967A2"/>
    <w:rsid w:val="0089687D"/>
    <w:rsid w:val="008970D5"/>
    <w:rsid w:val="008A16E1"/>
    <w:rsid w:val="008A1DA3"/>
    <w:rsid w:val="008A27F1"/>
    <w:rsid w:val="008A4894"/>
    <w:rsid w:val="008A4CF6"/>
    <w:rsid w:val="008A4D52"/>
    <w:rsid w:val="008A512B"/>
    <w:rsid w:val="008A5A88"/>
    <w:rsid w:val="008A7E76"/>
    <w:rsid w:val="008B0A08"/>
    <w:rsid w:val="008B1F25"/>
    <w:rsid w:val="008B4F78"/>
    <w:rsid w:val="008B5427"/>
    <w:rsid w:val="008B5963"/>
    <w:rsid w:val="008B6A21"/>
    <w:rsid w:val="008B7F70"/>
    <w:rsid w:val="008C1854"/>
    <w:rsid w:val="008C2589"/>
    <w:rsid w:val="008C4D3E"/>
    <w:rsid w:val="008C7CE4"/>
    <w:rsid w:val="008D1179"/>
    <w:rsid w:val="008D2DA4"/>
    <w:rsid w:val="008D434E"/>
    <w:rsid w:val="008D68AE"/>
    <w:rsid w:val="008D7043"/>
    <w:rsid w:val="008E03C3"/>
    <w:rsid w:val="008E2396"/>
    <w:rsid w:val="008E6094"/>
    <w:rsid w:val="008F18F8"/>
    <w:rsid w:val="008F271B"/>
    <w:rsid w:val="008F2BD0"/>
    <w:rsid w:val="008F3835"/>
    <w:rsid w:val="008F4760"/>
    <w:rsid w:val="00901032"/>
    <w:rsid w:val="00901AFF"/>
    <w:rsid w:val="0090210D"/>
    <w:rsid w:val="00906F18"/>
    <w:rsid w:val="0091099F"/>
    <w:rsid w:val="00910D06"/>
    <w:rsid w:val="00911D5F"/>
    <w:rsid w:val="00912008"/>
    <w:rsid w:val="00914116"/>
    <w:rsid w:val="00916BE1"/>
    <w:rsid w:val="00920123"/>
    <w:rsid w:val="00921E76"/>
    <w:rsid w:val="009257CE"/>
    <w:rsid w:val="0092606E"/>
    <w:rsid w:val="00933348"/>
    <w:rsid w:val="009342D5"/>
    <w:rsid w:val="009343BB"/>
    <w:rsid w:val="00934B32"/>
    <w:rsid w:val="00934DDB"/>
    <w:rsid w:val="00936C62"/>
    <w:rsid w:val="00937A4D"/>
    <w:rsid w:val="0094077C"/>
    <w:rsid w:val="00943BE0"/>
    <w:rsid w:val="009450F0"/>
    <w:rsid w:val="00945EC7"/>
    <w:rsid w:val="0094640E"/>
    <w:rsid w:val="00946502"/>
    <w:rsid w:val="0094658E"/>
    <w:rsid w:val="00947031"/>
    <w:rsid w:val="009473C6"/>
    <w:rsid w:val="0095270D"/>
    <w:rsid w:val="009529F4"/>
    <w:rsid w:val="00953062"/>
    <w:rsid w:val="00954C25"/>
    <w:rsid w:val="00955308"/>
    <w:rsid w:val="009605B4"/>
    <w:rsid w:val="00960B6B"/>
    <w:rsid w:val="009628C0"/>
    <w:rsid w:val="009664D1"/>
    <w:rsid w:val="00972009"/>
    <w:rsid w:val="009720D5"/>
    <w:rsid w:val="00974963"/>
    <w:rsid w:val="00977275"/>
    <w:rsid w:val="009852D3"/>
    <w:rsid w:val="00990561"/>
    <w:rsid w:val="009913D0"/>
    <w:rsid w:val="00993222"/>
    <w:rsid w:val="0099446B"/>
    <w:rsid w:val="009946BB"/>
    <w:rsid w:val="00996D38"/>
    <w:rsid w:val="00997D13"/>
    <w:rsid w:val="009A178E"/>
    <w:rsid w:val="009A239C"/>
    <w:rsid w:val="009A4DCC"/>
    <w:rsid w:val="009A6F1F"/>
    <w:rsid w:val="009B297D"/>
    <w:rsid w:val="009B2BF7"/>
    <w:rsid w:val="009B4BE8"/>
    <w:rsid w:val="009C0A94"/>
    <w:rsid w:val="009C0E4F"/>
    <w:rsid w:val="009C108D"/>
    <w:rsid w:val="009C16EC"/>
    <w:rsid w:val="009C59A4"/>
    <w:rsid w:val="009C747B"/>
    <w:rsid w:val="009D0966"/>
    <w:rsid w:val="009D1BC7"/>
    <w:rsid w:val="009D504B"/>
    <w:rsid w:val="009D61E2"/>
    <w:rsid w:val="009D6817"/>
    <w:rsid w:val="009D7F6E"/>
    <w:rsid w:val="009E0C44"/>
    <w:rsid w:val="009E0D0F"/>
    <w:rsid w:val="009E3A22"/>
    <w:rsid w:val="009E4490"/>
    <w:rsid w:val="009F2010"/>
    <w:rsid w:val="009F48D7"/>
    <w:rsid w:val="009F683E"/>
    <w:rsid w:val="00A00D8E"/>
    <w:rsid w:val="00A02C9C"/>
    <w:rsid w:val="00A119B6"/>
    <w:rsid w:val="00A11FE0"/>
    <w:rsid w:val="00A16E70"/>
    <w:rsid w:val="00A20BC0"/>
    <w:rsid w:val="00A23E36"/>
    <w:rsid w:val="00A2594F"/>
    <w:rsid w:val="00A26431"/>
    <w:rsid w:val="00A272FB"/>
    <w:rsid w:val="00A35294"/>
    <w:rsid w:val="00A35A84"/>
    <w:rsid w:val="00A35F18"/>
    <w:rsid w:val="00A361C5"/>
    <w:rsid w:val="00A374B2"/>
    <w:rsid w:val="00A4102B"/>
    <w:rsid w:val="00A428C4"/>
    <w:rsid w:val="00A44D4C"/>
    <w:rsid w:val="00A4524A"/>
    <w:rsid w:val="00A52EA5"/>
    <w:rsid w:val="00A53729"/>
    <w:rsid w:val="00A546D0"/>
    <w:rsid w:val="00A56036"/>
    <w:rsid w:val="00A56886"/>
    <w:rsid w:val="00A61C21"/>
    <w:rsid w:val="00A61E72"/>
    <w:rsid w:val="00A630A7"/>
    <w:rsid w:val="00A630B5"/>
    <w:rsid w:val="00A652ED"/>
    <w:rsid w:val="00A66689"/>
    <w:rsid w:val="00A671A4"/>
    <w:rsid w:val="00A67F68"/>
    <w:rsid w:val="00A71608"/>
    <w:rsid w:val="00A72FA7"/>
    <w:rsid w:val="00A746DE"/>
    <w:rsid w:val="00A74978"/>
    <w:rsid w:val="00A76E09"/>
    <w:rsid w:val="00A82162"/>
    <w:rsid w:val="00A82FF0"/>
    <w:rsid w:val="00A831C0"/>
    <w:rsid w:val="00A8355C"/>
    <w:rsid w:val="00A84E4F"/>
    <w:rsid w:val="00A85B47"/>
    <w:rsid w:val="00A92F6E"/>
    <w:rsid w:val="00A93BD2"/>
    <w:rsid w:val="00A94E53"/>
    <w:rsid w:val="00A96775"/>
    <w:rsid w:val="00AA1546"/>
    <w:rsid w:val="00AA198E"/>
    <w:rsid w:val="00AA2E61"/>
    <w:rsid w:val="00AA3408"/>
    <w:rsid w:val="00AA3910"/>
    <w:rsid w:val="00AA4008"/>
    <w:rsid w:val="00AA590F"/>
    <w:rsid w:val="00AA64DC"/>
    <w:rsid w:val="00AB031C"/>
    <w:rsid w:val="00AB25F2"/>
    <w:rsid w:val="00AB4601"/>
    <w:rsid w:val="00AB5A12"/>
    <w:rsid w:val="00AB6C8E"/>
    <w:rsid w:val="00AC11B6"/>
    <w:rsid w:val="00AC3766"/>
    <w:rsid w:val="00AC42AE"/>
    <w:rsid w:val="00AC55D9"/>
    <w:rsid w:val="00AC6918"/>
    <w:rsid w:val="00AC6B94"/>
    <w:rsid w:val="00AC6E2F"/>
    <w:rsid w:val="00AD3A3F"/>
    <w:rsid w:val="00AD4800"/>
    <w:rsid w:val="00AD5C38"/>
    <w:rsid w:val="00AD7C34"/>
    <w:rsid w:val="00AE02FD"/>
    <w:rsid w:val="00AE06D0"/>
    <w:rsid w:val="00AE1E42"/>
    <w:rsid w:val="00AE222E"/>
    <w:rsid w:val="00AE3B96"/>
    <w:rsid w:val="00AE4862"/>
    <w:rsid w:val="00AE5860"/>
    <w:rsid w:val="00AE7EFF"/>
    <w:rsid w:val="00AF30B4"/>
    <w:rsid w:val="00AF4343"/>
    <w:rsid w:val="00AF5217"/>
    <w:rsid w:val="00AF5622"/>
    <w:rsid w:val="00AF5A47"/>
    <w:rsid w:val="00AF6003"/>
    <w:rsid w:val="00B020A3"/>
    <w:rsid w:val="00B12528"/>
    <w:rsid w:val="00B131ED"/>
    <w:rsid w:val="00B1456B"/>
    <w:rsid w:val="00B146EF"/>
    <w:rsid w:val="00B15804"/>
    <w:rsid w:val="00B15F72"/>
    <w:rsid w:val="00B21010"/>
    <w:rsid w:val="00B2358F"/>
    <w:rsid w:val="00B24562"/>
    <w:rsid w:val="00B24CCB"/>
    <w:rsid w:val="00B25DD8"/>
    <w:rsid w:val="00B269BF"/>
    <w:rsid w:val="00B31ECA"/>
    <w:rsid w:val="00B402CA"/>
    <w:rsid w:val="00B405EB"/>
    <w:rsid w:val="00B41FD1"/>
    <w:rsid w:val="00B4269C"/>
    <w:rsid w:val="00B4642D"/>
    <w:rsid w:val="00B46FB3"/>
    <w:rsid w:val="00B54773"/>
    <w:rsid w:val="00B558EB"/>
    <w:rsid w:val="00B56049"/>
    <w:rsid w:val="00B61C8B"/>
    <w:rsid w:val="00B6280F"/>
    <w:rsid w:val="00B63868"/>
    <w:rsid w:val="00B6469A"/>
    <w:rsid w:val="00B65D03"/>
    <w:rsid w:val="00B664A4"/>
    <w:rsid w:val="00B7130D"/>
    <w:rsid w:val="00B71326"/>
    <w:rsid w:val="00B71ADD"/>
    <w:rsid w:val="00B71D9A"/>
    <w:rsid w:val="00B730E9"/>
    <w:rsid w:val="00B752C2"/>
    <w:rsid w:val="00B8471B"/>
    <w:rsid w:val="00B848A8"/>
    <w:rsid w:val="00B85399"/>
    <w:rsid w:val="00B856A5"/>
    <w:rsid w:val="00B85986"/>
    <w:rsid w:val="00B876F8"/>
    <w:rsid w:val="00B924EE"/>
    <w:rsid w:val="00B95422"/>
    <w:rsid w:val="00B955EB"/>
    <w:rsid w:val="00B95870"/>
    <w:rsid w:val="00BA2A1E"/>
    <w:rsid w:val="00BA723A"/>
    <w:rsid w:val="00BB1ADF"/>
    <w:rsid w:val="00BB1E12"/>
    <w:rsid w:val="00BB7209"/>
    <w:rsid w:val="00BB769D"/>
    <w:rsid w:val="00BB7A5E"/>
    <w:rsid w:val="00BC0103"/>
    <w:rsid w:val="00BC1BE5"/>
    <w:rsid w:val="00BC62F2"/>
    <w:rsid w:val="00BC6804"/>
    <w:rsid w:val="00BC73C3"/>
    <w:rsid w:val="00BC78A8"/>
    <w:rsid w:val="00BC7F38"/>
    <w:rsid w:val="00BD1AD9"/>
    <w:rsid w:val="00BD38C5"/>
    <w:rsid w:val="00BD3C48"/>
    <w:rsid w:val="00BD748B"/>
    <w:rsid w:val="00BD767A"/>
    <w:rsid w:val="00BE226E"/>
    <w:rsid w:val="00BE3072"/>
    <w:rsid w:val="00BE54C0"/>
    <w:rsid w:val="00BE5DB1"/>
    <w:rsid w:val="00BF080D"/>
    <w:rsid w:val="00BF22EB"/>
    <w:rsid w:val="00BF28CC"/>
    <w:rsid w:val="00BF2A2E"/>
    <w:rsid w:val="00BF68C6"/>
    <w:rsid w:val="00BF7B59"/>
    <w:rsid w:val="00C029C7"/>
    <w:rsid w:val="00C02C76"/>
    <w:rsid w:val="00C071DE"/>
    <w:rsid w:val="00C07F57"/>
    <w:rsid w:val="00C10992"/>
    <w:rsid w:val="00C11360"/>
    <w:rsid w:val="00C13465"/>
    <w:rsid w:val="00C16437"/>
    <w:rsid w:val="00C212BC"/>
    <w:rsid w:val="00C2135E"/>
    <w:rsid w:val="00C22E36"/>
    <w:rsid w:val="00C31439"/>
    <w:rsid w:val="00C347F6"/>
    <w:rsid w:val="00C4017A"/>
    <w:rsid w:val="00C46532"/>
    <w:rsid w:val="00C46D2D"/>
    <w:rsid w:val="00C50C50"/>
    <w:rsid w:val="00C53CF6"/>
    <w:rsid w:val="00C55274"/>
    <w:rsid w:val="00C565C7"/>
    <w:rsid w:val="00C64514"/>
    <w:rsid w:val="00C663F4"/>
    <w:rsid w:val="00C7048E"/>
    <w:rsid w:val="00C76657"/>
    <w:rsid w:val="00C82F76"/>
    <w:rsid w:val="00C86FEC"/>
    <w:rsid w:val="00C92BAD"/>
    <w:rsid w:val="00C9346F"/>
    <w:rsid w:val="00C9395F"/>
    <w:rsid w:val="00C93CE0"/>
    <w:rsid w:val="00CA0E58"/>
    <w:rsid w:val="00CA1524"/>
    <w:rsid w:val="00CA17B5"/>
    <w:rsid w:val="00CA30E1"/>
    <w:rsid w:val="00CA4DEF"/>
    <w:rsid w:val="00CA5D6D"/>
    <w:rsid w:val="00CB0EC8"/>
    <w:rsid w:val="00CB1875"/>
    <w:rsid w:val="00CB78A8"/>
    <w:rsid w:val="00CD02AB"/>
    <w:rsid w:val="00CD4A79"/>
    <w:rsid w:val="00CD74FB"/>
    <w:rsid w:val="00CE424F"/>
    <w:rsid w:val="00CF0A24"/>
    <w:rsid w:val="00CF1875"/>
    <w:rsid w:val="00CF6530"/>
    <w:rsid w:val="00D00B8E"/>
    <w:rsid w:val="00D01A24"/>
    <w:rsid w:val="00D01ECB"/>
    <w:rsid w:val="00D031BC"/>
    <w:rsid w:val="00D05CAD"/>
    <w:rsid w:val="00D05ED7"/>
    <w:rsid w:val="00D11609"/>
    <w:rsid w:val="00D1187C"/>
    <w:rsid w:val="00D16B6E"/>
    <w:rsid w:val="00D20E1A"/>
    <w:rsid w:val="00D20FDE"/>
    <w:rsid w:val="00D2104F"/>
    <w:rsid w:val="00D23F51"/>
    <w:rsid w:val="00D248AF"/>
    <w:rsid w:val="00D2597B"/>
    <w:rsid w:val="00D27447"/>
    <w:rsid w:val="00D27F59"/>
    <w:rsid w:val="00D3077C"/>
    <w:rsid w:val="00D3117F"/>
    <w:rsid w:val="00D354C6"/>
    <w:rsid w:val="00D41F83"/>
    <w:rsid w:val="00D45665"/>
    <w:rsid w:val="00D50292"/>
    <w:rsid w:val="00D5086E"/>
    <w:rsid w:val="00D56F15"/>
    <w:rsid w:val="00D62354"/>
    <w:rsid w:val="00D67DDD"/>
    <w:rsid w:val="00D72253"/>
    <w:rsid w:val="00D72CF4"/>
    <w:rsid w:val="00D7562F"/>
    <w:rsid w:val="00D9142E"/>
    <w:rsid w:val="00D92510"/>
    <w:rsid w:val="00D940A5"/>
    <w:rsid w:val="00DA17CD"/>
    <w:rsid w:val="00DA3D82"/>
    <w:rsid w:val="00DA4586"/>
    <w:rsid w:val="00DA5BE1"/>
    <w:rsid w:val="00DB02F0"/>
    <w:rsid w:val="00DB375F"/>
    <w:rsid w:val="00DC1A5B"/>
    <w:rsid w:val="00DC35F8"/>
    <w:rsid w:val="00DC6063"/>
    <w:rsid w:val="00DD0745"/>
    <w:rsid w:val="00DD2F0E"/>
    <w:rsid w:val="00DD3BC1"/>
    <w:rsid w:val="00DD443E"/>
    <w:rsid w:val="00DD6D48"/>
    <w:rsid w:val="00DE07E3"/>
    <w:rsid w:val="00DE163D"/>
    <w:rsid w:val="00DE37F8"/>
    <w:rsid w:val="00DE3E0A"/>
    <w:rsid w:val="00DE472B"/>
    <w:rsid w:val="00DE5603"/>
    <w:rsid w:val="00DE7E0F"/>
    <w:rsid w:val="00DF2FA4"/>
    <w:rsid w:val="00DF5F68"/>
    <w:rsid w:val="00DF64E2"/>
    <w:rsid w:val="00DF7587"/>
    <w:rsid w:val="00DF7896"/>
    <w:rsid w:val="00E00365"/>
    <w:rsid w:val="00E017EC"/>
    <w:rsid w:val="00E04E8F"/>
    <w:rsid w:val="00E05E8A"/>
    <w:rsid w:val="00E06346"/>
    <w:rsid w:val="00E06760"/>
    <w:rsid w:val="00E07278"/>
    <w:rsid w:val="00E07E48"/>
    <w:rsid w:val="00E10898"/>
    <w:rsid w:val="00E12348"/>
    <w:rsid w:val="00E14B2A"/>
    <w:rsid w:val="00E15078"/>
    <w:rsid w:val="00E16B39"/>
    <w:rsid w:val="00E16F87"/>
    <w:rsid w:val="00E23CC0"/>
    <w:rsid w:val="00E25609"/>
    <w:rsid w:val="00E30F2D"/>
    <w:rsid w:val="00E31BC1"/>
    <w:rsid w:val="00E32160"/>
    <w:rsid w:val="00E321A4"/>
    <w:rsid w:val="00E3723A"/>
    <w:rsid w:val="00E375AA"/>
    <w:rsid w:val="00E40A95"/>
    <w:rsid w:val="00E45671"/>
    <w:rsid w:val="00E46EC0"/>
    <w:rsid w:val="00E51E1F"/>
    <w:rsid w:val="00E52F9E"/>
    <w:rsid w:val="00E5386C"/>
    <w:rsid w:val="00E5670D"/>
    <w:rsid w:val="00E5749A"/>
    <w:rsid w:val="00E602F5"/>
    <w:rsid w:val="00E61632"/>
    <w:rsid w:val="00E62248"/>
    <w:rsid w:val="00E6356E"/>
    <w:rsid w:val="00E658B1"/>
    <w:rsid w:val="00E66189"/>
    <w:rsid w:val="00E67696"/>
    <w:rsid w:val="00E72D6A"/>
    <w:rsid w:val="00E76C05"/>
    <w:rsid w:val="00E77F9A"/>
    <w:rsid w:val="00E813A0"/>
    <w:rsid w:val="00E8212E"/>
    <w:rsid w:val="00E85ACE"/>
    <w:rsid w:val="00E86FDB"/>
    <w:rsid w:val="00E90A22"/>
    <w:rsid w:val="00E91BEC"/>
    <w:rsid w:val="00E973D2"/>
    <w:rsid w:val="00EA14CA"/>
    <w:rsid w:val="00EA1F5D"/>
    <w:rsid w:val="00EA2AA3"/>
    <w:rsid w:val="00EA43CB"/>
    <w:rsid w:val="00EA4D7B"/>
    <w:rsid w:val="00EA5062"/>
    <w:rsid w:val="00EA6128"/>
    <w:rsid w:val="00EA7C4B"/>
    <w:rsid w:val="00EB4857"/>
    <w:rsid w:val="00EC0954"/>
    <w:rsid w:val="00EC25C9"/>
    <w:rsid w:val="00ED175F"/>
    <w:rsid w:val="00ED3A46"/>
    <w:rsid w:val="00ED3B91"/>
    <w:rsid w:val="00ED62CA"/>
    <w:rsid w:val="00ED698E"/>
    <w:rsid w:val="00ED7718"/>
    <w:rsid w:val="00EE0B38"/>
    <w:rsid w:val="00EE59D1"/>
    <w:rsid w:val="00EE7DDB"/>
    <w:rsid w:val="00EE7FEA"/>
    <w:rsid w:val="00EF14BA"/>
    <w:rsid w:val="00EF2D87"/>
    <w:rsid w:val="00EF44D3"/>
    <w:rsid w:val="00EF45C7"/>
    <w:rsid w:val="00EF5328"/>
    <w:rsid w:val="00EF6F33"/>
    <w:rsid w:val="00F006BF"/>
    <w:rsid w:val="00F02914"/>
    <w:rsid w:val="00F071F7"/>
    <w:rsid w:val="00F1000C"/>
    <w:rsid w:val="00F11D30"/>
    <w:rsid w:val="00F149C0"/>
    <w:rsid w:val="00F16507"/>
    <w:rsid w:val="00F16CF4"/>
    <w:rsid w:val="00F17215"/>
    <w:rsid w:val="00F1725E"/>
    <w:rsid w:val="00F23FF9"/>
    <w:rsid w:val="00F308CA"/>
    <w:rsid w:val="00F337C1"/>
    <w:rsid w:val="00F363DE"/>
    <w:rsid w:val="00F370CD"/>
    <w:rsid w:val="00F47392"/>
    <w:rsid w:val="00F53161"/>
    <w:rsid w:val="00F53285"/>
    <w:rsid w:val="00F552B7"/>
    <w:rsid w:val="00F67E36"/>
    <w:rsid w:val="00F72DFA"/>
    <w:rsid w:val="00F74440"/>
    <w:rsid w:val="00F77677"/>
    <w:rsid w:val="00F81494"/>
    <w:rsid w:val="00F8149A"/>
    <w:rsid w:val="00F81E22"/>
    <w:rsid w:val="00F844F2"/>
    <w:rsid w:val="00F84B15"/>
    <w:rsid w:val="00F859A0"/>
    <w:rsid w:val="00F87217"/>
    <w:rsid w:val="00FA1B4B"/>
    <w:rsid w:val="00FA1BC8"/>
    <w:rsid w:val="00FA4CFB"/>
    <w:rsid w:val="00FA547A"/>
    <w:rsid w:val="00FA6438"/>
    <w:rsid w:val="00FA7DC7"/>
    <w:rsid w:val="00FB011F"/>
    <w:rsid w:val="00FB1F32"/>
    <w:rsid w:val="00FB1FD2"/>
    <w:rsid w:val="00FB6A0A"/>
    <w:rsid w:val="00FB6B8D"/>
    <w:rsid w:val="00FC2858"/>
    <w:rsid w:val="00FC38D0"/>
    <w:rsid w:val="00FC4E14"/>
    <w:rsid w:val="00FC7019"/>
    <w:rsid w:val="00FD2BDA"/>
    <w:rsid w:val="00FD6D5B"/>
    <w:rsid w:val="00FE0D89"/>
    <w:rsid w:val="00FE24F4"/>
    <w:rsid w:val="00FE30C7"/>
    <w:rsid w:val="00FF46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82414"/>
  <w15:docId w15:val="{1DAE9772-41C2-1841-AAB0-F1BB5D07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4790B"/>
    <w:rPr>
      <w:sz w:val="20"/>
      <w:szCs w:val="20"/>
    </w:rPr>
  </w:style>
  <w:style w:type="character" w:customStyle="1" w:styleId="FootnoteTextChar">
    <w:name w:val="Footnote Text Char"/>
    <w:basedOn w:val="DefaultParagraphFont"/>
    <w:link w:val="FootnoteText"/>
    <w:uiPriority w:val="99"/>
    <w:rsid w:val="0024790B"/>
    <w:rPr>
      <w:sz w:val="20"/>
      <w:szCs w:val="20"/>
    </w:rPr>
  </w:style>
  <w:style w:type="character" w:styleId="FootnoteReference">
    <w:name w:val="footnote reference"/>
    <w:basedOn w:val="DefaultParagraphFont"/>
    <w:uiPriority w:val="99"/>
    <w:unhideWhenUsed/>
    <w:rsid w:val="0024790B"/>
    <w:rPr>
      <w:vertAlign w:val="superscript"/>
    </w:rPr>
  </w:style>
  <w:style w:type="character" w:styleId="Hyperlink">
    <w:name w:val="Hyperlink"/>
    <w:basedOn w:val="DefaultParagraphFont"/>
    <w:uiPriority w:val="99"/>
    <w:unhideWhenUsed/>
    <w:rsid w:val="0024790B"/>
    <w:rPr>
      <w:color w:val="0563C1" w:themeColor="hyperlink"/>
      <w:u w:val="single"/>
    </w:rPr>
  </w:style>
  <w:style w:type="paragraph" w:styleId="ListParagraph">
    <w:name w:val="List Paragraph"/>
    <w:basedOn w:val="Normal"/>
    <w:uiPriority w:val="34"/>
    <w:qFormat/>
    <w:rsid w:val="0024790B"/>
    <w:pPr>
      <w:ind w:left="720"/>
      <w:contextualSpacing/>
    </w:pPr>
  </w:style>
  <w:style w:type="paragraph" w:styleId="NormalWeb">
    <w:name w:val="Normal (Web)"/>
    <w:basedOn w:val="Normal"/>
    <w:uiPriority w:val="99"/>
    <w:unhideWhenUsed/>
    <w:rsid w:val="007F6D4D"/>
    <w:pPr>
      <w:spacing w:before="100" w:beforeAutospacing="1" w:after="100" w:afterAutospacing="1"/>
    </w:pPr>
    <w:rPr>
      <w:rFonts w:ascii="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E40A95"/>
    <w:rPr>
      <w:color w:val="605E5C"/>
      <w:shd w:val="clear" w:color="auto" w:fill="E1DFDD"/>
    </w:rPr>
  </w:style>
  <w:style w:type="paragraph" w:styleId="Header">
    <w:name w:val="header"/>
    <w:basedOn w:val="Normal"/>
    <w:link w:val="HeaderChar"/>
    <w:uiPriority w:val="99"/>
    <w:unhideWhenUsed/>
    <w:rsid w:val="00E40A95"/>
    <w:pPr>
      <w:tabs>
        <w:tab w:val="center" w:pos="4513"/>
        <w:tab w:val="right" w:pos="9026"/>
      </w:tabs>
    </w:pPr>
  </w:style>
  <w:style w:type="character" w:customStyle="1" w:styleId="HeaderChar">
    <w:name w:val="Header Char"/>
    <w:basedOn w:val="DefaultParagraphFont"/>
    <w:link w:val="Header"/>
    <w:uiPriority w:val="99"/>
    <w:rsid w:val="00E40A95"/>
  </w:style>
  <w:style w:type="paragraph" w:styleId="Footer">
    <w:name w:val="footer"/>
    <w:basedOn w:val="Normal"/>
    <w:link w:val="FooterChar"/>
    <w:uiPriority w:val="99"/>
    <w:unhideWhenUsed/>
    <w:rsid w:val="00E40A95"/>
    <w:pPr>
      <w:tabs>
        <w:tab w:val="center" w:pos="4513"/>
        <w:tab w:val="right" w:pos="9026"/>
      </w:tabs>
    </w:pPr>
  </w:style>
  <w:style w:type="character" w:customStyle="1" w:styleId="FooterChar">
    <w:name w:val="Footer Char"/>
    <w:basedOn w:val="DefaultParagraphFont"/>
    <w:link w:val="Footer"/>
    <w:uiPriority w:val="99"/>
    <w:rsid w:val="00E40A95"/>
  </w:style>
  <w:style w:type="character" w:styleId="PageNumber">
    <w:name w:val="page number"/>
    <w:basedOn w:val="DefaultParagraphFont"/>
    <w:uiPriority w:val="99"/>
    <w:semiHidden/>
    <w:unhideWhenUsed/>
    <w:rsid w:val="00E40A95"/>
  </w:style>
  <w:style w:type="paragraph" w:customStyle="1" w:styleId="Body">
    <w:name w:val="Body"/>
    <w:rsid w:val="00E40A95"/>
    <w:pPr>
      <w:pBdr>
        <w:top w:val="nil"/>
        <w:left w:val="nil"/>
        <w:bottom w:val="nil"/>
        <w:right w:val="nil"/>
        <w:between w:val="nil"/>
        <w:bar w:val="nil"/>
      </w:pBdr>
    </w:pPr>
    <w:rPr>
      <w:rFonts w:ascii="Helvetica" w:eastAsia="Arial Unicode MS" w:hAnsi="Helvetica" w:cs="Arial Unicode MS"/>
      <w:color w:val="000000"/>
      <w:bdr w:val="nil"/>
      <w:lang w:val="en-US"/>
    </w:rPr>
  </w:style>
  <w:style w:type="character" w:styleId="FollowedHyperlink">
    <w:name w:val="FollowedHyperlink"/>
    <w:basedOn w:val="DefaultParagraphFont"/>
    <w:uiPriority w:val="99"/>
    <w:semiHidden/>
    <w:unhideWhenUsed/>
    <w:rsid w:val="00E40A95"/>
    <w:rPr>
      <w:color w:val="954F72" w:themeColor="followedHyperlink"/>
      <w:u w:val="single"/>
    </w:rPr>
  </w:style>
  <w:style w:type="character" w:customStyle="1" w:styleId="UnresolvedMention2">
    <w:name w:val="Unresolved Mention2"/>
    <w:basedOn w:val="DefaultParagraphFont"/>
    <w:uiPriority w:val="99"/>
    <w:semiHidden/>
    <w:unhideWhenUsed/>
    <w:rsid w:val="009852D3"/>
    <w:rPr>
      <w:color w:val="605E5C"/>
      <w:shd w:val="clear" w:color="auto" w:fill="E1DFDD"/>
    </w:rPr>
  </w:style>
  <w:style w:type="character" w:styleId="UnresolvedMention">
    <w:name w:val="Unresolved Mention"/>
    <w:basedOn w:val="DefaultParagraphFont"/>
    <w:uiPriority w:val="99"/>
    <w:semiHidden/>
    <w:unhideWhenUsed/>
    <w:rsid w:val="00AA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9/08/13-Whole-Population-Budget-Overview.pdf" TargetMode="External"/><Relationship Id="rId13" Type="http://schemas.openxmlformats.org/officeDocument/2006/relationships/hyperlink" Target="https://keepournhspublic.com/wp-content/uploads/2022/01/statement-on-response-to-Provider-Selection-Regime.docx" TargetMode="External"/><Relationship Id="rId18" Type="http://schemas.openxmlformats.org/officeDocument/2006/relationships/hyperlink" Target="https://www.strategyunitwm.nhs.uk/sites/default/files/2018-06/Risk%20and%20Reward%20Sharing%20for%20NHS%20Integrated%20Care%20Systems%20-%20180605_0.pdf" TargetMode="External"/><Relationship Id="rId3" Type="http://schemas.openxmlformats.org/officeDocument/2006/relationships/hyperlink" Target="https://www.ncbi.nlm.nih.gov/pmc/articles/PMC4422096/" TargetMode="External"/><Relationship Id="rId21" Type="http://schemas.openxmlformats.org/officeDocument/2006/relationships/hyperlink" Target="https://www.england.nhs.uk/wp-content/uploads/2021/09/Context-for-finances-and-payment-for-2022-23.pdf" TargetMode="External"/><Relationship Id="rId7" Type="http://schemas.openxmlformats.org/officeDocument/2006/relationships/hyperlink" Target="https://www.allysonpollock.com/wp-content/uploads/2013/04/UNISON_2002_Pollock_WhatsGoodNHS.pdf" TargetMode="External"/><Relationship Id="rId12" Type="http://schemas.openxmlformats.org/officeDocument/2006/relationships/hyperlink" Target="https://www.england.nhs.uk/wp-content/uploads/2021/02/B0706-NHS-Provider-Selection-regime-response-to-consultation.pdf" TargetMode="External"/><Relationship Id="rId17" Type="http://schemas.openxmlformats.org/officeDocument/2006/relationships/hyperlink" Target="https://www.england.nhs.uk/wp-content/uploads/2021/09/22-23-finance-and-payment-engagement_blended-payment.pdf" TargetMode="External"/><Relationship Id="rId2" Type="http://schemas.openxmlformats.org/officeDocument/2006/relationships/hyperlink" Target="https://www.longtermplan.nhs.uk/online-version/" TargetMode="External"/><Relationship Id="rId16" Type="http://schemas.openxmlformats.org/officeDocument/2006/relationships/hyperlink" Target="https://www.hfma.org.uk/docs/default-source/publications/Briefings/an-introduction-to-aligned-incentive-contracts.pdf?sfvrsn=8c777be7_2" TargetMode="External"/><Relationship Id="rId20" Type="http://schemas.openxmlformats.org/officeDocument/2006/relationships/hyperlink" Target="https://blogs.sph.harvard.edu/ashish-jha/2016/08/30/aco-winners-and-losers-a-quick-take/" TargetMode="External"/><Relationship Id="rId1" Type="http://schemas.openxmlformats.org/officeDocument/2006/relationships/hyperlink" Target="https://www.england.nhs.uk/wp-content/uploads/2014/10/5yfv-web.pdf" TargetMode="External"/><Relationship Id="rId6" Type="http://schemas.openxmlformats.org/officeDocument/2006/relationships/hyperlink" Target="https://apps.who.int/iris/rest/bitstreams/1268045/retrieve" TargetMode="External"/><Relationship Id="rId11" Type="http://schemas.openxmlformats.org/officeDocument/2006/relationships/hyperlink" Target="https://www.england.nhs.uk/wp-content/uploads/2021/02/B0135-provider-selection-regime-consultation.pdf" TargetMode="External"/><Relationship Id="rId5" Type="http://schemas.openxmlformats.org/officeDocument/2006/relationships/hyperlink" Target="https://www.ncbi.nlm.nih.gov/pmc/articles/PMC2131738/" TargetMode="External"/><Relationship Id="rId15" Type="http://schemas.openxmlformats.org/officeDocument/2006/relationships/hyperlink" Target="https://www.england.nhs.uk/wp-content/uploads/2021/02/20-21NT_Guidance_on_blended_payments.pdf" TargetMode="External"/><Relationship Id="rId10" Type="http://schemas.openxmlformats.org/officeDocument/2006/relationships/hyperlink" Target="https://www.gov.uk/government/publications/how-to-understand-public-sector-spending/how-to-understand-public-sector-spending" TargetMode="External"/><Relationship Id="rId19" Type="http://schemas.openxmlformats.org/officeDocument/2006/relationships/hyperlink" Target="https://tavistockandportman.nhs.uk/about-us/governance/cquin/" TargetMode="External"/><Relationship Id="rId4" Type="http://schemas.openxmlformats.org/officeDocument/2006/relationships/hyperlink" Target="https://www3.weforum.org/docs/WEF_Maximizing_Healthy_Life_Years.pdf" TargetMode="External"/><Relationship Id="rId9" Type="http://schemas.openxmlformats.org/officeDocument/2006/relationships/hyperlink" Target="https://www.england.nhs.uk/wp-content/uploads/2021/09/Context-for-finances-and-payment-for-2022-23.pdf" TargetMode="External"/><Relationship Id="rId14" Type="http://schemas.openxmlformats.org/officeDocument/2006/relationships/hyperlink" Target="https://www.england.nhs.uk/coronavirus/publication/block-payment-guidanc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3421</Words>
  <Characters>19503</Characters>
  <Application>Microsoft Office Word</Application>
  <DocSecurity>0</DocSecurity>
  <Lines>162</Lines>
  <Paragraphs>45</Paragraphs>
  <ScaleCrop>false</ScaleCrop>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2022-03-18T11:32:00Z</dcterms:created>
  <dcterms:modified xsi:type="dcterms:W3CDTF">2022-03-18T11:32:00Z</dcterms:modified>
</cp:coreProperties>
</file>