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9284" w14:textId="244BBEB6" w:rsidR="00D95A4F" w:rsidRPr="009F1C18" w:rsidRDefault="009F1C18" w:rsidP="009F1C18">
      <w:pPr>
        <w:jc w:val="center"/>
        <w:rPr>
          <w:b/>
        </w:rPr>
      </w:pPr>
      <w:r w:rsidRPr="009F1C18">
        <w:rPr>
          <w:b/>
        </w:rPr>
        <w:t xml:space="preserve">The Goldacre Review, </w:t>
      </w:r>
      <w:r w:rsidR="00C8632F" w:rsidRPr="009F1C18">
        <w:rPr>
          <w:b/>
        </w:rPr>
        <w:t>Trusted Research Environments</w:t>
      </w:r>
      <w:r>
        <w:rPr>
          <w:b/>
        </w:rPr>
        <w:t>,</w:t>
      </w:r>
      <w:r w:rsidRPr="009F1C18">
        <w:rPr>
          <w:b/>
        </w:rPr>
        <w:t xml:space="preserve"> and NHS data</w:t>
      </w:r>
    </w:p>
    <w:p w14:paraId="39109238" w14:textId="77777777" w:rsidR="00D95A4F" w:rsidRPr="009F1C18" w:rsidRDefault="00D95A4F" w:rsidP="009F1C18"/>
    <w:p w14:paraId="0D4380B7" w14:textId="5C7DB94A" w:rsidR="0088027C" w:rsidRPr="001B7D89" w:rsidRDefault="001B7D89" w:rsidP="009F1C18">
      <w:pPr>
        <w:rPr>
          <w:b/>
        </w:rPr>
      </w:pPr>
      <w:r w:rsidRPr="001B7D89">
        <w:rPr>
          <w:b/>
        </w:rPr>
        <w:t>Background</w:t>
      </w:r>
    </w:p>
    <w:p w14:paraId="6257317D" w14:textId="5CE9D989" w:rsidR="00C44B68" w:rsidRDefault="00C44B68" w:rsidP="009F1C18">
      <w:r w:rsidRPr="009F1C18">
        <w:t>Seventy-three years of detailed patien</w:t>
      </w:r>
      <w:r w:rsidR="00C8632F" w:rsidRPr="009F1C18">
        <w:t>t records means that NHS data represents</w:t>
      </w:r>
      <w:r w:rsidRPr="009F1C18">
        <w:t xml:space="preserve"> an unparalleled resource</w:t>
      </w:r>
      <w:r w:rsidR="00F505FF">
        <w:t xml:space="preserve"> for researchers and NHS service planners</w:t>
      </w:r>
      <w:r w:rsidRPr="009F1C18">
        <w:t xml:space="preserve">. Its analysis </w:t>
      </w:r>
      <w:r w:rsidR="004E2EBD" w:rsidRPr="009F1C18">
        <w:t xml:space="preserve">and </w:t>
      </w:r>
      <w:r w:rsidRPr="009F1C18">
        <w:t xml:space="preserve">role in </w:t>
      </w:r>
      <w:r w:rsidR="004E2EBD" w:rsidRPr="009F1C18">
        <w:t xml:space="preserve">the development of data-driven technologies can lead to invaluable benefits for patients, the NHS and society more broadly. </w:t>
      </w:r>
      <w:r w:rsidR="00CE6F46">
        <w:t xml:space="preserve">But </w:t>
      </w:r>
      <w:r w:rsidR="00F505FF">
        <w:t>the</w:t>
      </w:r>
      <w:r w:rsidR="00E14875" w:rsidRPr="009F1C18">
        <w:t xml:space="preserve"> Government also </w:t>
      </w:r>
      <w:r w:rsidR="00F61DC3" w:rsidRPr="009F1C18">
        <w:t xml:space="preserve">views </w:t>
      </w:r>
      <w:r w:rsidR="00F505FF">
        <w:t xml:space="preserve">personal health data </w:t>
      </w:r>
      <w:r w:rsidR="00E14875" w:rsidRPr="009F1C18">
        <w:t xml:space="preserve">as central to </w:t>
      </w:r>
      <w:r w:rsidR="00F505FF">
        <w:t>its ambition to grow the UK economy post-Brexit by becoming a scie</w:t>
      </w:r>
      <w:r w:rsidR="00CE6F46">
        <w:t>nce and technology superpower, while many organisations see our data as potential sources of profit.</w:t>
      </w:r>
    </w:p>
    <w:p w14:paraId="4A5B8267" w14:textId="77777777" w:rsidR="00C44B68" w:rsidRPr="009F1C18" w:rsidRDefault="00C44B68" w:rsidP="009F1C18"/>
    <w:p w14:paraId="1FEAA439" w14:textId="2B6D4847" w:rsidR="004E2EBD" w:rsidRPr="009F1C18" w:rsidRDefault="00F61DC3" w:rsidP="009F1C18">
      <w:r w:rsidRPr="009F1C18">
        <w:t xml:space="preserve">One concern about this agenda is how the privacy of our personal data will be </w:t>
      </w:r>
      <w:r w:rsidR="00F23628">
        <w:t>safeguarded</w:t>
      </w:r>
      <w:r w:rsidRPr="009F1C18">
        <w:t xml:space="preserve">, </w:t>
      </w:r>
      <w:r w:rsidR="00071DFB">
        <w:t xml:space="preserve">given that there is a wide range of health data sets, accessed by a variety of data users (including commercial organisations) who work on data </w:t>
      </w:r>
      <w:r w:rsidR="004C29A3">
        <w:t>that’s downloaded</w:t>
      </w:r>
      <w:r w:rsidR="00071DFB">
        <w:t xml:space="preserve"> to a range of locations. There are also</w:t>
      </w:r>
      <w:r w:rsidRPr="009F1C18">
        <w:t xml:space="preserve"> signs (such as the forthcoming </w:t>
      </w:r>
      <w:hyperlink r:id="rId7" w:history="1">
        <w:r w:rsidRPr="00F23628">
          <w:rPr>
            <w:rStyle w:val="Hyperlink"/>
          </w:rPr>
          <w:t>Data Reform Bill</w:t>
        </w:r>
      </w:hyperlink>
      <w:r w:rsidRPr="009F1C18">
        <w:t xml:space="preserve">) </w:t>
      </w:r>
      <w:r w:rsidR="00260455" w:rsidRPr="009F1C18">
        <w:t xml:space="preserve">that </w:t>
      </w:r>
      <w:r w:rsidR="00071DFB">
        <w:t xml:space="preserve">existing </w:t>
      </w:r>
      <w:r w:rsidR="00C8632F" w:rsidRPr="009F1C18">
        <w:t>data</w:t>
      </w:r>
      <w:r w:rsidR="00F23628">
        <w:t xml:space="preserve"> protections are</w:t>
      </w:r>
      <w:r w:rsidR="00C8632F" w:rsidRPr="009F1C18">
        <w:t xml:space="preserve"> </w:t>
      </w:r>
      <w:r w:rsidRPr="009F1C18">
        <w:t xml:space="preserve">to be </w:t>
      </w:r>
      <w:r w:rsidR="00CE6F46">
        <w:t>weakend by government</w:t>
      </w:r>
      <w:r w:rsidRPr="009F1C18">
        <w:t xml:space="preserve">. </w:t>
      </w:r>
      <w:r w:rsidR="00260455" w:rsidRPr="009F1C18">
        <w:t xml:space="preserve"> </w:t>
      </w:r>
      <w:r w:rsidR="007C6CF9" w:rsidRPr="009F1C18">
        <w:t xml:space="preserve">Even </w:t>
      </w:r>
      <w:r w:rsidR="00C8632F" w:rsidRPr="009F1C18">
        <w:t>existing regulations</w:t>
      </w:r>
      <w:r w:rsidR="007C6CF9" w:rsidRPr="009F1C18">
        <w:t xml:space="preserve"> </w:t>
      </w:r>
      <w:r w:rsidR="00C8632F" w:rsidRPr="009F1C18">
        <w:t xml:space="preserve">have </w:t>
      </w:r>
      <w:r w:rsidR="004A43FD" w:rsidRPr="009F1C18">
        <w:t>been in</w:t>
      </w:r>
      <w:r w:rsidR="00C8632F" w:rsidRPr="009F1C18">
        <w:t>sufficient to</w:t>
      </w:r>
      <w:r w:rsidR="00981EE5">
        <w:t xml:space="preserve"> allay public concern about </w:t>
      </w:r>
      <w:r w:rsidR="004A43FD" w:rsidRPr="009F1C18">
        <w:t>plans</w:t>
      </w:r>
      <w:r w:rsidR="00C8632F" w:rsidRPr="009F1C18">
        <w:t xml:space="preserve">, </w:t>
      </w:r>
      <w:r w:rsidR="00AF0DC5" w:rsidRPr="009F1C18">
        <w:t>such as ‘GPdataGrab’</w:t>
      </w:r>
      <w:r w:rsidR="00C8632F" w:rsidRPr="009F1C18">
        <w:t>,</w:t>
      </w:r>
      <w:r w:rsidR="00AF0DC5" w:rsidRPr="009F1C18">
        <w:rPr>
          <w:vertAlign w:val="superscript"/>
        </w:rPr>
        <w:footnoteReference w:id="1"/>
      </w:r>
      <w:r w:rsidR="004A43FD" w:rsidRPr="009F1C18">
        <w:t xml:space="preserve"> to extract NHS data, </w:t>
      </w:r>
      <w:r w:rsidR="00260455" w:rsidRPr="009F1C18">
        <w:t xml:space="preserve">largely because of </w:t>
      </w:r>
      <w:r w:rsidR="004A43FD" w:rsidRPr="009F1C18">
        <w:t xml:space="preserve">fears </w:t>
      </w:r>
      <w:r w:rsidR="00981EE5">
        <w:t xml:space="preserve">about privacy and </w:t>
      </w:r>
      <w:r w:rsidR="004A43FD" w:rsidRPr="009F1C18">
        <w:t xml:space="preserve">that </w:t>
      </w:r>
      <w:r w:rsidR="00AF0DC5" w:rsidRPr="009F1C18">
        <w:t xml:space="preserve">commercial companies </w:t>
      </w:r>
      <w:r w:rsidR="004A43FD" w:rsidRPr="009F1C18">
        <w:t xml:space="preserve">will acquire </w:t>
      </w:r>
      <w:r w:rsidR="00260455" w:rsidRPr="009F1C18">
        <w:t>access</w:t>
      </w:r>
      <w:r w:rsidR="00981EE5">
        <w:t xml:space="preserve"> to personal information</w:t>
      </w:r>
      <w:r w:rsidR="00260455" w:rsidRPr="009F1C18">
        <w:t>.</w:t>
      </w:r>
    </w:p>
    <w:p w14:paraId="07AAEC56" w14:textId="77777777" w:rsidR="004E2EBD" w:rsidRPr="009F1C18" w:rsidRDefault="004E2EBD" w:rsidP="009F1C18"/>
    <w:p w14:paraId="299BD907" w14:textId="433BAB1B" w:rsidR="00071DFB" w:rsidRDefault="009448F3" w:rsidP="0088027C">
      <w:r w:rsidRPr="009F1C18">
        <w:t xml:space="preserve">Enter </w:t>
      </w:r>
      <w:r w:rsidR="00260455" w:rsidRPr="009F1C18">
        <w:t xml:space="preserve">Ben Goldacre, </w:t>
      </w:r>
      <w:r w:rsidR="007C6CF9" w:rsidRPr="009F1C18">
        <w:t>Professor of evidence-based medicine at Oxford University</w:t>
      </w:r>
      <w:r w:rsidRPr="009F1C18">
        <w:t xml:space="preserve">, who the Government </w:t>
      </w:r>
      <w:r w:rsidR="00981EE5">
        <w:t xml:space="preserve">commissioned </w:t>
      </w:r>
      <w:r w:rsidRPr="009F1C18">
        <w:t xml:space="preserve">to review how NHS data can be stored, managed and analysed most effectively while </w:t>
      </w:r>
      <w:r w:rsidR="00AF0DC5" w:rsidRPr="009F1C18">
        <w:t xml:space="preserve">at the same time </w:t>
      </w:r>
      <w:r w:rsidRPr="009F1C18">
        <w:t xml:space="preserve">protecting patients’ privacy and avoiding unnecessary duplication of effort. </w:t>
      </w:r>
      <w:r w:rsidR="00071DFB">
        <w:t xml:space="preserve"> </w:t>
      </w:r>
      <w:r w:rsidR="0088027C">
        <w:t>One of the main proposals of Goldacre’s review, “</w:t>
      </w:r>
      <w:hyperlink r:id="rId8" w:anchor="trusted-research-environments" w:history="1">
        <w:r w:rsidR="0088027C" w:rsidRPr="00F23628">
          <w:rPr>
            <w:rStyle w:val="Hyperlink"/>
            <w:i/>
          </w:rPr>
          <w:t>Better, broader, safer: using health data for research and analysis</w:t>
        </w:r>
      </w:hyperlink>
      <w:r w:rsidR="00FA142C">
        <w:t>”</w:t>
      </w:r>
      <w:r w:rsidR="00981EE5">
        <w:t>,</w:t>
      </w:r>
      <w:r w:rsidR="00FA142C">
        <w:t xml:space="preserve"> </w:t>
      </w:r>
      <w:r w:rsidR="0088027C">
        <w:t>is the creation of Trusted Research Enviro</w:t>
      </w:r>
      <w:r w:rsidR="00071DFB">
        <w:t>nments (</w:t>
      </w:r>
      <w:r w:rsidR="002C1FFA">
        <w:t>see below</w:t>
      </w:r>
      <w:r w:rsidR="00071DFB">
        <w:t>)</w:t>
      </w:r>
      <w:r w:rsidR="008367BF">
        <w:t xml:space="preserve">, that will allow increased </w:t>
      </w:r>
      <w:r w:rsidR="00071DFB">
        <w:t xml:space="preserve">access to NHS data while also retaining control and ensuring privacy. </w:t>
      </w:r>
    </w:p>
    <w:p w14:paraId="1D7D3734" w14:textId="77777777" w:rsidR="00071DFB" w:rsidRDefault="00071DFB" w:rsidP="0088027C"/>
    <w:p w14:paraId="1AD20BA3" w14:textId="378100C2" w:rsidR="00490E77" w:rsidRDefault="008367BF" w:rsidP="00FA142C">
      <w:r>
        <w:t>In our view, T</w:t>
      </w:r>
      <w:r w:rsidR="002C1FFA">
        <w:t xml:space="preserve">rusted </w:t>
      </w:r>
      <w:r>
        <w:t>R</w:t>
      </w:r>
      <w:r w:rsidR="002C1FFA">
        <w:t xml:space="preserve">esearch </w:t>
      </w:r>
      <w:r>
        <w:t>E</w:t>
      </w:r>
      <w:r w:rsidR="002C1FFA">
        <w:t>nvironments (TREs)</w:t>
      </w:r>
      <w:r>
        <w:t xml:space="preserve"> are presented as something of a panacea</w:t>
      </w:r>
      <w:r w:rsidR="002548BC">
        <w:t xml:space="preserve"> and need to be seen in the light of competing messages</w:t>
      </w:r>
      <w:r w:rsidR="0088082C">
        <w:t xml:space="preserve"> from NHS England (NHSE)</w:t>
      </w:r>
      <w:r>
        <w:t xml:space="preserve">. </w:t>
      </w:r>
      <w:r w:rsidR="00CE6F46">
        <w:t>Although it</w:t>
      </w:r>
      <w:r w:rsidR="00071DFB">
        <w:t xml:space="preserve"> seems </w:t>
      </w:r>
      <w:r w:rsidR="002548BC">
        <w:t xml:space="preserve">TREs </w:t>
      </w:r>
      <w:r w:rsidR="00CE6F46">
        <w:t>could</w:t>
      </w:r>
      <w:r>
        <w:t xml:space="preserve"> offer </w:t>
      </w:r>
      <w:r w:rsidR="00071DFB">
        <w:t xml:space="preserve">a significant range of benefits, we are unclear about </w:t>
      </w:r>
      <w:r w:rsidR="002270B2">
        <w:t xml:space="preserve">which data sets </w:t>
      </w:r>
      <w:r>
        <w:t xml:space="preserve">will be stored by TREs </w:t>
      </w:r>
      <w:r w:rsidR="002270B2">
        <w:t xml:space="preserve">and </w:t>
      </w:r>
      <w:r w:rsidR="001B7D89">
        <w:t xml:space="preserve">whether some types of </w:t>
      </w:r>
      <w:r w:rsidR="002270B2">
        <w:t>data wil</w:t>
      </w:r>
      <w:r>
        <w:t>l remain vulnerable to privacy breaches</w:t>
      </w:r>
      <w:r w:rsidR="00981EE5">
        <w:t xml:space="preserve"> and commercial mining</w:t>
      </w:r>
      <w:r w:rsidR="00091AEC">
        <w:t>.</w:t>
      </w:r>
      <w:r w:rsidR="00D757E6">
        <w:rPr>
          <w:rStyle w:val="FootnoteReference"/>
        </w:rPr>
        <w:footnoteReference w:id="2"/>
      </w:r>
      <w:r w:rsidR="00091AEC">
        <w:t xml:space="preserve"> </w:t>
      </w:r>
    </w:p>
    <w:p w14:paraId="53D773A8" w14:textId="77777777" w:rsidR="00490E77" w:rsidRDefault="00490E77" w:rsidP="00FA142C"/>
    <w:p w14:paraId="3570AB20" w14:textId="5CA984A6" w:rsidR="00FA142C" w:rsidRPr="0088082C" w:rsidRDefault="00091AEC" w:rsidP="00FA142C">
      <w:pPr>
        <w:rPr>
          <w:strike/>
        </w:rPr>
      </w:pPr>
      <w:r>
        <w:t xml:space="preserve">For example, </w:t>
      </w:r>
      <w:r w:rsidR="00D757E6">
        <w:t>Goldacre’s recommendation is that “all analysis of NHS patient records should move to be done in a TRE” (p.121)</w:t>
      </w:r>
      <w:r w:rsidR="00406134">
        <w:t xml:space="preserve">, yet this contrasts with the </w:t>
      </w:r>
      <w:r w:rsidR="00490E77">
        <w:t xml:space="preserve">evidence </w:t>
      </w:r>
      <w:r w:rsidR="00406134">
        <w:t xml:space="preserve">that Tim Ferris (Director of NHSE’s Transformation Directorate) gave </w:t>
      </w:r>
      <w:r w:rsidR="00490E77">
        <w:t xml:space="preserve">to the House of Commons </w:t>
      </w:r>
      <w:r w:rsidR="00490E77" w:rsidRPr="00406134">
        <w:t>Science and Technology Committee</w:t>
      </w:r>
      <w:r w:rsidR="00490E77">
        <w:t xml:space="preserve"> on </w:t>
      </w:r>
      <w:hyperlink r:id="rId9" w:history="1">
        <w:r w:rsidR="00490E77" w:rsidRPr="00406134">
          <w:rPr>
            <w:rStyle w:val="Hyperlink"/>
            <w:i/>
          </w:rPr>
          <w:t>The right to privacy: digital data</w:t>
        </w:r>
      </w:hyperlink>
      <w:r w:rsidR="00406134">
        <w:t>. He described</w:t>
      </w:r>
      <w:r w:rsidR="00490E77">
        <w:t xml:space="preserve"> healthcare data as having four main uses (</w:t>
      </w:r>
      <w:r w:rsidR="00D757E6">
        <w:t>to inform direct care; deliver population hea</w:t>
      </w:r>
      <w:r w:rsidR="00490E77">
        <w:t>lth</w:t>
      </w:r>
      <w:r w:rsidR="00D757E6">
        <w:t>; plan services; and for research</w:t>
      </w:r>
      <w:r w:rsidR="00490E77">
        <w:t xml:space="preserve">) and, </w:t>
      </w:r>
      <w:r w:rsidR="0088082C">
        <w:t xml:space="preserve">when </w:t>
      </w:r>
      <w:r w:rsidR="00490E77">
        <w:t>a</w:t>
      </w:r>
      <w:r w:rsidR="00D757E6">
        <w:t xml:space="preserve">sked if TREs are appropriate for all four uses, </w:t>
      </w:r>
      <w:r w:rsidR="0088082C">
        <w:t xml:space="preserve">his response was </w:t>
      </w:r>
      <w:r w:rsidR="00406134">
        <w:t xml:space="preserve">no, only in the case of </w:t>
      </w:r>
      <w:r w:rsidR="00490E77">
        <w:t xml:space="preserve">research. </w:t>
      </w:r>
      <w:r w:rsidR="00D757E6">
        <w:t xml:space="preserve"> </w:t>
      </w:r>
    </w:p>
    <w:p w14:paraId="0EB57E4C" w14:textId="77777777" w:rsidR="0088027C" w:rsidRDefault="0088027C" w:rsidP="0088027C"/>
    <w:p w14:paraId="18120A3C" w14:textId="24BA4EA0" w:rsidR="0088027C" w:rsidRPr="009F1C18" w:rsidRDefault="0088082C" w:rsidP="0088027C">
      <w:r>
        <w:t xml:space="preserve">To give a further example, </w:t>
      </w:r>
      <w:r w:rsidR="008367BF">
        <w:t>Goldacre</w:t>
      </w:r>
      <w:r w:rsidR="00556C0F">
        <w:t xml:space="preserve"> </w:t>
      </w:r>
      <w:r w:rsidR="0088027C" w:rsidRPr="009F1C18">
        <w:t xml:space="preserve">suggests that the Government </w:t>
      </w:r>
      <w:r w:rsidR="0088027C">
        <w:t xml:space="preserve">is in favour of </w:t>
      </w:r>
      <w:r w:rsidR="0088027C" w:rsidRPr="009F1C18">
        <w:t xml:space="preserve">TREs as the way to reassure patients about the privacy of their NHS data, </w:t>
      </w:r>
      <w:r w:rsidR="0088027C">
        <w:t xml:space="preserve">to </w:t>
      </w:r>
      <w:r w:rsidR="0088027C" w:rsidRPr="009F1C18">
        <w:t>simplify data access and reduce data dissemination,</w:t>
      </w:r>
      <w:r>
        <w:t xml:space="preserve"> and yet </w:t>
      </w:r>
      <w:r w:rsidR="00CE6F46">
        <w:t xml:space="preserve">this does not seem to square </w:t>
      </w:r>
      <w:r w:rsidR="0088027C" w:rsidRPr="009F1C18">
        <w:t>with NHSE’s</w:t>
      </w:r>
      <w:r w:rsidR="0088027C" w:rsidRPr="009F1C18">
        <w:rPr>
          <w:vertAlign w:val="superscript"/>
        </w:rPr>
        <w:footnoteReference w:id="3"/>
      </w:r>
      <w:r w:rsidR="0088027C" w:rsidRPr="009F1C18">
        <w:rPr>
          <w:vertAlign w:val="superscript"/>
        </w:rPr>
        <w:t xml:space="preserve"> </w:t>
      </w:r>
      <w:r w:rsidR="0088027C" w:rsidRPr="009F1C18">
        <w:t>recent announcement of plans to “unlock the value of data” by creating a ‘federated data platform’ (FDP)</w:t>
      </w:r>
      <w:r w:rsidR="002548BC">
        <w:t xml:space="preserve">. </w:t>
      </w:r>
      <w:r w:rsidR="00CE6F46">
        <w:t xml:space="preserve">Described </w:t>
      </w:r>
      <w:r w:rsidR="002548BC">
        <w:t>as</w:t>
      </w:r>
      <w:r w:rsidR="001B7D89">
        <w:t xml:space="preserve"> an “ecosystem</w:t>
      </w:r>
      <w:r w:rsidR="002548BC">
        <w:t xml:space="preserve"> of technologies and services” to be implemented across the NHS in England, th</w:t>
      </w:r>
      <w:r w:rsidR="0088027C" w:rsidRPr="009F1C18">
        <w:t xml:space="preserve">e </w:t>
      </w:r>
      <w:r>
        <w:t xml:space="preserve">proposed </w:t>
      </w:r>
      <w:r w:rsidR="0088027C" w:rsidRPr="009F1C18">
        <w:t>FDP will both store and support access to data for operational and internal analysis purposes</w:t>
      </w:r>
      <w:r w:rsidR="00CE6F46">
        <w:t xml:space="preserve">. The aim is to connect </w:t>
      </w:r>
      <w:r w:rsidR="0088027C" w:rsidRPr="009F1C18">
        <w:t>NHS trusts, ICSs and national organisations such as NHSE so data, including sensitive information, can flow more easily across local, regional and national levels</w:t>
      </w:r>
      <w:r w:rsidR="00CE6F46">
        <w:t xml:space="preserve"> - and seems to cut through the rationale for setting up TREs.</w:t>
      </w:r>
    </w:p>
    <w:p w14:paraId="5E3A3A8D" w14:textId="77777777" w:rsidR="001B7D89" w:rsidRDefault="001B7D89" w:rsidP="009F1C18"/>
    <w:p w14:paraId="7AE517EC" w14:textId="1EFBD6AF" w:rsidR="001B7D89" w:rsidRPr="001B7D89" w:rsidRDefault="001B7D89" w:rsidP="009F1C18">
      <w:pPr>
        <w:rPr>
          <w:b/>
        </w:rPr>
      </w:pPr>
      <w:r w:rsidRPr="001B7D89">
        <w:rPr>
          <w:b/>
        </w:rPr>
        <w:t>The Goldacre Review</w:t>
      </w:r>
    </w:p>
    <w:p w14:paraId="4EDA6ADE" w14:textId="1513323E" w:rsidR="009448F3" w:rsidRPr="009F1C18" w:rsidRDefault="00F23628" w:rsidP="009F1C18">
      <w:r>
        <w:t>The review, “</w:t>
      </w:r>
      <w:hyperlink r:id="rId10" w:anchor="trusted-research-environments" w:history="1">
        <w:r w:rsidRPr="00F23628">
          <w:rPr>
            <w:rStyle w:val="Hyperlink"/>
            <w:i/>
          </w:rPr>
          <w:t>Better, broader, safer: using health data for research and analysis</w:t>
        </w:r>
      </w:hyperlink>
      <w:r>
        <w:t xml:space="preserve">”, is extensive. </w:t>
      </w:r>
      <w:r w:rsidR="009448F3" w:rsidRPr="009F1C18">
        <w:t xml:space="preserve">We focus on </w:t>
      </w:r>
      <w:r w:rsidR="00C8632F" w:rsidRPr="009F1C18">
        <w:t xml:space="preserve">just </w:t>
      </w:r>
      <w:r w:rsidR="009448F3" w:rsidRPr="009F1C18">
        <w:t xml:space="preserve">three of the </w:t>
      </w:r>
      <w:r w:rsidR="00D54169" w:rsidRPr="009F1C18">
        <w:t xml:space="preserve">issues </w:t>
      </w:r>
      <w:r>
        <w:t>it raises</w:t>
      </w:r>
      <w:r w:rsidR="009448F3" w:rsidRPr="009F1C18">
        <w:t>:</w:t>
      </w:r>
    </w:p>
    <w:p w14:paraId="5CE34015" w14:textId="1F2BE292" w:rsidR="009448F3" w:rsidRPr="009F1C18" w:rsidRDefault="009448F3" w:rsidP="001B7D89">
      <w:pPr>
        <w:pStyle w:val="ListParagraph"/>
        <w:numPr>
          <w:ilvl w:val="0"/>
          <w:numId w:val="14"/>
        </w:numPr>
      </w:pPr>
      <w:r w:rsidRPr="009F1C18">
        <w:t xml:space="preserve">the shortcomings of ‘pseudonymisation’ as </w:t>
      </w:r>
      <w:r w:rsidR="007D7D47" w:rsidRPr="009F1C18">
        <w:t>a technique</w:t>
      </w:r>
      <w:r w:rsidRPr="009F1C18">
        <w:t xml:space="preserve"> to secure patient privacy;</w:t>
      </w:r>
    </w:p>
    <w:p w14:paraId="46DD5320" w14:textId="7AABE25A" w:rsidR="009448F3" w:rsidRPr="009F1C18" w:rsidRDefault="005E453E" w:rsidP="001B7D89">
      <w:pPr>
        <w:pStyle w:val="ListParagraph"/>
        <w:numPr>
          <w:ilvl w:val="0"/>
          <w:numId w:val="14"/>
        </w:numPr>
      </w:pPr>
      <w:r w:rsidRPr="009F1C18">
        <w:t xml:space="preserve">the </w:t>
      </w:r>
      <w:r w:rsidR="002D4342" w:rsidRPr="009F1C18">
        <w:t>argument for</w:t>
      </w:r>
      <w:r w:rsidRPr="009F1C18">
        <w:t xml:space="preserve"> </w:t>
      </w:r>
      <w:r w:rsidR="007E07F3" w:rsidRPr="009F1C18">
        <w:t xml:space="preserve">a limited number of </w:t>
      </w:r>
      <w:r w:rsidRPr="009F1C18">
        <w:t>shared platforms - ‘Trusted Research Environments’ (TREs)</w:t>
      </w:r>
      <w:r w:rsidR="004C29A3" w:rsidRPr="009F1C18">
        <w:t>- to</w:t>
      </w:r>
      <w:r w:rsidR="007E07F3" w:rsidRPr="009F1C18">
        <w:t xml:space="preserve"> allow secure access to</w:t>
      </w:r>
      <w:r w:rsidRPr="009F1C18">
        <w:t xml:space="preserve"> NHS patient records;</w:t>
      </w:r>
      <w:r w:rsidR="00C8632F" w:rsidRPr="009F1C18">
        <w:t xml:space="preserve"> and</w:t>
      </w:r>
    </w:p>
    <w:p w14:paraId="1C377D77" w14:textId="121713F7" w:rsidR="002D4342" w:rsidRDefault="00F23628" w:rsidP="001B7D89">
      <w:pPr>
        <w:pStyle w:val="ListParagraph"/>
        <w:numPr>
          <w:ilvl w:val="0"/>
          <w:numId w:val="14"/>
        </w:numPr>
      </w:pPr>
      <w:r>
        <w:t xml:space="preserve">TREs and the </w:t>
      </w:r>
      <w:r w:rsidR="00A6402E">
        <w:t>c</w:t>
      </w:r>
      <w:r w:rsidR="002D4342" w:rsidRPr="009F1C18">
        <w:t xml:space="preserve">ommercial </w:t>
      </w:r>
      <w:r w:rsidR="00A6402E">
        <w:t>use of data</w:t>
      </w:r>
      <w:r>
        <w:t>.</w:t>
      </w:r>
    </w:p>
    <w:p w14:paraId="0CC5F40E" w14:textId="77777777" w:rsidR="00A6402E" w:rsidRPr="009F1C18" w:rsidRDefault="00A6402E" w:rsidP="00A6402E"/>
    <w:p w14:paraId="31AB8117" w14:textId="2384E8D9" w:rsidR="005E453E" w:rsidRPr="001B7D89" w:rsidRDefault="001B7D89" w:rsidP="009F1C18">
      <w:pPr>
        <w:rPr>
          <w:u w:val="single"/>
        </w:rPr>
      </w:pPr>
      <w:r>
        <w:rPr>
          <w:u w:val="single"/>
        </w:rPr>
        <w:t xml:space="preserve">1. </w:t>
      </w:r>
      <w:r w:rsidR="007D7D47" w:rsidRPr="001B7D89">
        <w:rPr>
          <w:u w:val="single"/>
        </w:rPr>
        <w:t xml:space="preserve">Pseudonymisation </w:t>
      </w:r>
    </w:p>
    <w:p w14:paraId="7DF171FC" w14:textId="1CEBB4FA" w:rsidR="009448F3" w:rsidRPr="009F1C18" w:rsidRDefault="005E453E" w:rsidP="009F1C18">
      <w:r w:rsidRPr="009F1C18">
        <w:t xml:space="preserve">Pseudonymisation </w:t>
      </w:r>
      <w:r w:rsidR="00AE2B36" w:rsidRPr="009F1C18">
        <w:t>is commonly used for pro</w:t>
      </w:r>
      <w:r w:rsidR="00F23628">
        <w:t>cessing NHS data. It refers to the</w:t>
      </w:r>
      <w:r w:rsidR="00AE2B36" w:rsidRPr="009F1C18">
        <w:t xml:space="preserve"> </w:t>
      </w:r>
      <w:r w:rsidRPr="009F1C18">
        <w:t>process</w:t>
      </w:r>
      <w:r w:rsidR="00AE2B36" w:rsidRPr="009F1C18">
        <w:t xml:space="preserve"> </w:t>
      </w:r>
      <w:r w:rsidR="00F23628">
        <w:t xml:space="preserve">of removing </w:t>
      </w:r>
      <w:r w:rsidR="00C8632F" w:rsidRPr="009F1C18">
        <w:t>markers that directly identify</w:t>
      </w:r>
      <w:r w:rsidR="004A43FD" w:rsidRPr="009F1C18">
        <w:t xml:space="preserve"> an individual (</w:t>
      </w:r>
      <w:r w:rsidR="00764C29" w:rsidRPr="009F1C18">
        <w:t>such as their name, date of birth and address</w:t>
      </w:r>
      <w:r w:rsidR="004A43FD" w:rsidRPr="009F1C18">
        <w:t>)</w:t>
      </w:r>
      <w:r w:rsidR="00764C29" w:rsidRPr="009F1C18">
        <w:t xml:space="preserve"> before their data is shared</w:t>
      </w:r>
      <w:r w:rsidR="00C8632F" w:rsidRPr="009F1C18">
        <w:t xml:space="preserve"> with</w:t>
      </w:r>
      <w:r w:rsidR="00317BF6" w:rsidRPr="009F1C18">
        <w:t xml:space="preserve"> different locations</w:t>
      </w:r>
      <w:r w:rsidR="00AF0DC5" w:rsidRPr="009F1C18">
        <w:t xml:space="preserve"> or users</w:t>
      </w:r>
      <w:r w:rsidR="00764C29" w:rsidRPr="009F1C18">
        <w:t>. Although it can be augmented by o</w:t>
      </w:r>
      <w:r w:rsidR="00AF0DC5" w:rsidRPr="009F1C18">
        <w:t>ther types of control, there is</w:t>
      </w:r>
      <w:r w:rsidR="00764C29" w:rsidRPr="009F1C18">
        <w:t xml:space="preserve"> widespread </w:t>
      </w:r>
      <w:r w:rsidR="00317BF6" w:rsidRPr="009F1C18">
        <w:t xml:space="preserve">unease </w:t>
      </w:r>
      <w:r w:rsidR="00764C29" w:rsidRPr="009F1C18">
        <w:t xml:space="preserve">that pseudonymisation can be easily reversed </w:t>
      </w:r>
      <w:r w:rsidR="00C8632F" w:rsidRPr="009F1C18">
        <w:t xml:space="preserve">by </w:t>
      </w:r>
      <w:r w:rsidR="00764C29" w:rsidRPr="009F1C18">
        <w:t>analysts work</w:t>
      </w:r>
      <w:r w:rsidR="00C8632F" w:rsidRPr="009F1C18">
        <w:t>ing</w:t>
      </w:r>
      <w:r w:rsidR="00764C29" w:rsidRPr="009F1C18">
        <w:t xml:space="preserve"> </w:t>
      </w:r>
      <w:r w:rsidR="00B16D1A" w:rsidRPr="009F1C18">
        <w:t xml:space="preserve">on </w:t>
      </w:r>
      <w:r w:rsidR="00317BF6" w:rsidRPr="009F1C18">
        <w:t>NHS records</w:t>
      </w:r>
      <w:r w:rsidR="00DB71B5" w:rsidRPr="009F1C18">
        <w:t xml:space="preserve">, </w:t>
      </w:r>
      <w:r w:rsidR="003E4546" w:rsidRPr="009F1C18">
        <w:t xml:space="preserve">especially </w:t>
      </w:r>
      <w:r w:rsidR="00F23628">
        <w:t xml:space="preserve">when combining </w:t>
      </w:r>
      <w:r w:rsidR="00DB71B5" w:rsidRPr="009F1C18">
        <w:t>multiple datasets</w:t>
      </w:r>
      <w:r w:rsidR="00317BF6" w:rsidRPr="009F1C18">
        <w:t xml:space="preserve">. Significantly, when </w:t>
      </w:r>
      <w:r w:rsidR="003E4546" w:rsidRPr="009F1C18">
        <w:t xml:space="preserve">providing evidence to </w:t>
      </w:r>
      <w:r w:rsidR="00317BF6" w:rsidRPr="009F1C18">
        <w:t xml:space="preserve">the </w:t>
      </w:r>
      <w:r w:rsidR="00211F1C" w:rsidRPr="009F1C18">
        <w:t xml:space="preserve">House of Commons </w:t>
      </w:r>
      <w:hyperlink r:id="rId11" w:history="1">
        <w:r w:rsidR="00211F1C" w:rsidRPr="00D448D3">
          <w:rPr>
            <w:rStyle w:val="Hyperlink"/>
          </w:rPr>
          <w:t>Science and Technology Committee</w:t>
        </w:r>
      </w:hyperlink>
      <w:r w:rsidR="00D448D3">
        <w:t xml:space="preserve"> inquiry on </w:t>
      </w:r>
      <w:r w:rsidR="00D448D3" w:rsidRPr="00D448D3">
        <w:rPr>
          <w:i/>
        </w:rPr>
        <w:t>The right to privacy: digital data</w:t>
      </w:r>
      <w:r w:rsidR="00D448D3">
        <w:t xml:space="preserve">, </w:t>
      </w:r>
      <w:r w:rsidR="00764C29" w:rsidRPr="009F1C18">
        <w:t xml:space="preserve">Goldacre </w:t>
      </w:r>
      <w:r w:rsidR="00317BF6" w:rsidRPr="009F1C18">
        <w:t xml:space="preserve">acknowledged that </w:t>
      </w:r>
      <w:r w:rsidR="00382993">
        <w:t>th</w:t>
      </w:r>
      <w:r w:rsidR="00F75802">
        <w:t>e privacy benefits of pseudony</w:t>
      </w:r>
      <w:r w:rsidR="00CE6F46">
        <w:t>mi</w:t>
      </w:r>
      <w:r w:rsidR="00382993">
        <w:t>sation were over overstated and h</w:t>
      </w:r>
      <w:r w:rsidR="00317BF6" w:rsidRPr="009F1C18">
        <w:t xml:space="preserve">is own concerns about </w:t>
      </w:r>
      <w:r w:rsidR="00382993">
        <w:t xml:space="preserve">it </w:t>
      </w:r>
      <w:r w:rsidR="00317BF6" w:rsidRPr="009F1C18">
        <w:t xml:space="preserve">meant </w:t>
      </w:r>
      <w:r w:rsidR="00211F1C" w:rsidRPr="009F1C18">
        <w:t xml:space="preserve">that </w:t>
      </w:r>
      <w:r w:rsidR="00317BF6" w:rsidRPr="009F1C18">
        <w:t xml:space="preserve">he </w:t>
      </w:r>
      <w:r w:rsidR="00211F1C" w:rsidRPr="009F1C18">
        <w:t xml:space="preserve">was one of the </w:t>
      </w:r>
      <w:r w:rsidR="007D7D47" w:rsidRPr="009F1C18">
        <w:t xml:space="preserve">millions </w:t>
      </w:r>
      <w:r w:rsidR="00211F1C" w:rsidRPr="009F1C18">
        <w:t>of people who ‘</w:t>
      </w:r>
      <w:r w:rsidR="00317BF6" w:rsidRPr="009F1C18">
        <w:t>opted out</w:t>
      </w:r>
      <w:r w:rsidR="00211F1C" w:rsidRPr="009F1C18">
        <w:t>’</w:t>
      </w:r>
      <w:r w:rsidR="00317BF6" w:rsidRPr="009F1C18">
        <w:t xml:space="preserve"> of</w:t>
      </w:r>
      <w:r w:rsidR="003E4546" w:rsidRPr="009F1C18">
        <w:t xml:space="preserve"> </w:t>
      </w:r>
      <w:r w:rsidR="00317BF6" w:rsidRPr="009F1C18">
        <w:t xml:space="preserve"> </w:t>
      </w:r>
      <w:r w:rsidR="00211F1C" w:rsidRPr="009F1C18">
        <w:t>‘GPdataGrab’.</w:t>
      </w:r>
      <w:r w:rsidR="00382993">
        <w:t xml:space="preserve"> </w:t>
      </w:r>
    </w:p>
    <w:p w14:paraId="47C398C1" w14:textId="77777777" w:rsidR="00BA6B11" w:rsidRPr="009F1C18" w:rsidRDefault="00BA6B11" w:rsidP="009F1C18"/>
    <w:p w14:paraId="23E21C5C" w14:textId="5462AC03" w:rsidR="00BA6B11" w:rsidRPr="009F1C18" w:rsidRDefault="00A25B6F" w:rsidP="009F1C18">
      <w:r>
        <w:t>Datasets derived from patient records are growing in size, becoming more detailed, and are being accessed by a growing number of</w:t>
      </w:r>
      <w:r w:rsidR="00CE6F46">
        <w:t xml:space="preserve"> analysts</w:t>
      </w:r>
      <w:r w:rsidR="00F75802">
        <w:t>, meaning that pseudonymi</w:t>
      </w:r>
      <w:r>
        <w:t xml:space="preserve">sation is becoming increasingly unreliable as a way of safeguarding privacy. In response, there is </w:t>
      </w:r>
      <w:r w:rsidR="00AF0DC5" w:rsidRPr="009F1C18">
        <w:t xml:space="preserve">growing </w:t>
      </w:r>
      <w:r w:rsidR="00BA6B11" w:rsidRPr="009F1C18">
        <w:t xml:space="preserve">reliance on </w:t>
      </w:r>
      <w:r>
        <w:t xml:space="preserve">a </w:t>
      </w:r>
      <w:r w:rsidR="00080EF3">
        <w:t>“</w:t>
      </w:r>
      <w:r>
        <w:t xml:space="preserve">spaghetti junction of regulations” determining </w:t>
      </w:r>
      <w:r w:rsidR="00AF0DC5" w:rsidRPr="009F1C18">
        <w:t>who can</w:t>
      </w:r>
      <w:r w:rsidR="00BA6B11" w:rsidRPr="009F1C18">
        <w:t xml:space="preserve"> access</w:t>
      </w:r>
      <w:r w:rsidR="00080EF3">
        <w:t xml:space="preserve"> the data</w:t>
      </w:r>
      <w:r w:rsidR="007D7D47" w:rsidRPr="009F1C18">
        <w:t xml:space="preserve">. </w:t>
      </w:r>
      <w:r w:rsidR="00BA6B11" w:rsidRPr="009F1C18">
        <w:t xml:space="preserve"> </w:t>
      </w:r>
      <w:r w:rsidR="00080EF3" w:rsidRPr="009F1C18">
        <w:t>Researchers and NHS analysts may need to obtain multiple permissions from multiple organisations to access the data they need. To make things more difficult, rules governing access are often interpreted over-cautiously because of their lack of clarity. This may lead to projects being delayed or abandoned</w:t>
      </w:r>
      <w:r w:rsidR="004A3778">
        <w:t>: according to Goldacre, “important</w:t>
      </w:r>
      <w:r w:rsidR="00C3005A" w:rsidRPr="009F1C18">
        <w:t xml:space="preserve"> </w:t>
      </w:r>
      <w:r w:rsidR="004A3778">
        <w:t xml:space="preserve">data analyses that could substantially improve the quality, safety and cost </w:t>
      </w:r>
      <w:r w:rsidR="004A3778">
        <w:lastRenderedPageBreak/>
        <w:t xml:space="preserve">effectiveness of care are not being done” (p.143). </w:t>
      </w:r>
      <w:r w:rsidR="00C3005A" w:rsidRPr="009F1C18">
        <w:t>Goldacre’s main s</w:t>
      </w:r>
      <w:r w:rsidR="007D7D47" w:rsidRPr="009F1C18">
        <w:t>olution</w:t>
      </w:r>
      <w:r w:rsidR="00080EF3">
        <w:t xml:space="preserve"> to this</w:t>
      </w:r>
      <w:r w:rsidR="007D7D47" w:rsidRPr="009F1C18">
        <w:t xml:space="preserve"> is the development of Trusted Research Environments. </w:t>
      </w:r>
    </w:p>
    <w:p w14:paraId="4B3CAC8F" w14:textId="77777777" w:rsidR="00764C29" w:rsidRPr="009F1C18" w:rsidRDefault="00764C29" w:rsidP="009F1C18"/>
    <w:p w14:paraId="2F70E855" w14:textId="3D95C68E" w:rsidR="007D7D47" w:rsidRPr="001B7D89" w:rsidRDefault="001B7D89" w:rsidP="009F1C18">
      <w:pPr>
        <w:rPr>
          <w:u w:val="single"/>
        </w:rPr>
      </w:pPr>
      <w:r>
        <w:rPr>
          <w:u w:val="single"/>
        </w:rPr>
        <w:t xml:space="preserve">2. </w:t>
      </w:r>
      <w:r w:rsidR="007D7D47" w:rsidRPr="001B7D89">
        <w:rPr>
          <w:u w:val="single"/>
        </w:rPr>
        <w:t>Trusted Research Environments (TREs)</w:t>
      </w:r>
    </w:p>
    <w:p w14:paraId="16986377" w14:textId="6D752B3D" w:rsidR="009D5D4C" w:rsidRPr="009F1C18" w:rsidRDefault="00462B31" w:rsidP="009F1C18">
      <w:r w:rsidRPr="009F1C18">
        <w:t>Besides the growing complexity of datasets</w:t>
      </w:r>
      <w:r w:rsidR="00080EF3">
        <w:t xml:space="preserve"> and regulations for access</w:t>
      </w:r>
      <w:r w:rsidRPr="009F1C18">
        <w:t>, t</w:t>
      </w:r>
      <w:r w:rsidR="00C3005A" w:rsidRPr="009F1C18">
        <w:t xml:space="preserve">here </w:t>
      </w:r>
      <w:r w:rsidR="007309E3" w:rsidRPr="009F1C18">
        <w:t xml:space="preserve">is currently no coherent or integrated system for the collection, storage </w:t>
      </w:r>
      <w:r w:rsidRPr="009F1C18">
        <w:t xml:space="preserve">and processing of patient data. Instead </w:t>
      </w:r>
      <w:r w:rsidR="006F0A1E" w:rsidRPr="009F1C18">
        <w:t>there are currently hundre</w:t>
      </w:r>
      <w:r w:rsidR="003E4546" w:rsidRPr="009F1C18">
        <w:t>ds of isolated analytic siloes and data centres</w:t>
      </w:r>
      <w:r w:rsidRPr="009F1C18">
        <w:t>, to say nothing of</w:t>
      </w:r>
      <w:r w:rsidR="003E4546" w:rsidRPr="009F1C18">
        <w:t xml:space="preserve"> </w:t>
      </w:r>
      <w:r w:rsidR="006F0A1E" w:rsidRPr="009F1C18">
        <w:t>diverse working practices</w:t>
      </w:r>
      <w:r w:rsidR="00080EF3">
        <w:t xml:space="preserve"> amongst analysts</w:t>
      </w:r>
      <w:r w:rsidR="006F0A1E" w:rsidRPr="009F1C18">
        <w:t>.</w:t>
      </w:r>
    </w:p>
    <w:p w14:paraId="244BFACF" w14:textId="77777777" w:rsidR="00480D94" w:rsidRPr="009F1C18" w:rsidRDefault="00480D94" w:rsidP="009F1C18"/>
    <w:p w14:paraId="047DCC6F" w14:textId="4B0ACBE4" w:rsidR="00C3005A" w:rsidRPr="009F1C18" w:rsidRDefault="00C3005A" w:rsidP="009F1C18">
      <w:r w:rsidRPr="009F1C18">
        <w:t xml:space="preserve">Goldacre’s response is that </w:t>
      </w:r>
      <w:r w:rsidR="00080EF3">
        <w:t xml:space="preserve">patient </w:t>
      </w:r>
      <w:r w:rsidRPr="009F1C18">
        <w:t xml:space="preserve">data should be held by </w:t>
      </w:r>
      <w:r w:rsidR="00080EF3">
        <w:t xml:space="preserve">just </w:t>
      </w:r>
      <w:r w:rsidRPr="009F1C18">
        <w:t>a small number of secure analytic platforms</w:t>
      </w:r>
      <w:r w:rsidR="008E14E1" w:rsidRPr="009F1C18">
        <w:t xml:space="preserve"> - </w:t>
      </w:r>
      <w:r w:rsidR="003E4546" w:rsidRPr="009F1C18">
        <w:t>Trusted Research Environments</w:t>
      </w:r>
      <w:r w:rsidRPr="009F1C18">
        <w:t xml:space="preserve"> (TREs)</w:t>
      </w:r>
      <w:r w:rsidR="008E14E1" w:rsidRPr="009F1C18">
        <w:t xml:space="preserve"> - </w:t>
      </w:r>
      <w:r w:rsidRPr="009F1C18">
        <w:t xml:space="preserve">to be used by academics, NHS analysts and ‘innovators’ </w:t>
      </w:r>
      <w:r w:rsidR="00DB71B5" w:rsidRPr="009F1C18">
        <w:t>(</w:t>
      </w:r>
      <w:r w:rsidR="00080EF3">
        <w:t xml:space="preserve">generally meaning </w:t>
      </w:r>
      <w:r w:rsidR="00DB71B5" w:rsidRPr="009F1C18">
        <w:t xml:space="preserve">private companies) </w:t>
      </w:r>
      <w:r w:rsidRPr="009F1C18">
        <w:t>for all analysis of NHS patient records wherever there is a risk to patient pri</w:t>
      </w:r>
      <w:r w:rsidR="003E4546" w:rsidRPr="009F1C18">
        <w:t>vacy</w:t>
      </w:r>
      <w:r w:rsidR="008A2CB4" w:rsidRPr="009F1C18">
        <w:t xml:space="preserve">. Patient data should only be transferred to other non-NHS data centres when that patient has given explicit consent (e.g. in consented clinical trials). </w:t>
      </w:r>
      <w:r w:rsidRPr="009F1C18">
        <w:t xml:space="preserve">TREs </w:t>
      </w:r>
      <w:r w:rsidR="008A2CB4" w:rsidRPr="009F1C18">
        <w:t xml:space="preserve">also </w:t>
      </w:r>
      <w:r w:rsidRPr="009F1C18">
        <w:t>present the opportu</w:t>
      </w:r>
      <w:r w:rsidR="00080EF3">
        <w:t>nity to impose set standards on how commonly used data</w:t>
      </w:r>
      <w:r w:rsidRPr="009F1C18">
        <w:t>sets are managed.</w:t>
      </w:r>
    </w:p>
    <w:p w14:paraId="69187817" w14:textId="77777777" w:rsidR="00C3005A" w:rsidRPr="009F1C18" w:rsidRDefault="00C3005A" w:rsidP="009F1C18"/>
    <w:p w14:paraId="6AC40C47" w14:textId="69986343" w:rsidR="00C3005A" w:rsidRPr="009F1C18" w:rsidRDefault="006571E1" w:rsidP="009F1C18">
      <w:r w:rsidRPr="009F1C18">
        <w:t>According to the Goldacre r</w:t>
      </w:r>
      <w:r w:rsidR="00C3005A" w:rsidRPr="009F1C18">
        <w:t>eview, TREs represent a more dynamic and open approach</w:t>
      </w:r>
      <w:r w:rsidR="00DB71B5" w:rsidRPr="009F1C18">
        <w:t xml:space="preserve"> to data use</w:t>
      </w:r>
      <w:r w:rsidR="00080EF3">
        <w:t xml:space="preserve"> while retaining control of the data</w:t>
      </w:r>
      <w:r w:rsidRPr="009F1C18">
        <w:t>. E</w:t>
      </w:r>
      <w:r w:rsidR="00C3005A" w:rsidRPr="009F1C18">
        <w:t>ach TRE is</w:t>
      </w:r>
    </w:p>
    <w:p w14:paraId="7E17FEA5" w14:textId="7287B33C" w:rsidR="00C3005A" w:rsidRPr="009F1C18" w:rsidRDefault="006571E1" w:rsidP="00A6402E">
      <w:pPr>
        <w:ind w:left="720"/>
      </w:pPr>
      <w:r w:rsidRPr="009F1C18">
        <w:t>“</w:t>
      </w:r>
      <w:r w:rsidR="00C3005A" w:rsidRPr="009F1C18">
        <w:t>a secure environment that researchers enter in order to work on the data remotely, rather than downloading it onto their own local machine. Users can extract and download the answers from their analyses – such as results tables, or graphs – but individual patients’ data always stays within the secure environment.</w:t>
      </w:r>
      <w:r w:rsidRPr="009F1C18">
        <w:t>”</w:t>
      </w:r>
      <w:r w:rsidR="00C3005A" w:rsidRPr="009F1C18">
        <w:t xml:space="preserve"> </w:t>
      </w:r>
    </w:p>
    <w:p w14:paraId="6D2CBE97" w14:textId="77777777" w:rsidR="00A6402E" w:rsidRDefault="00A6402E" w:rsidP="009F1C18"/>
    <w:p w14:paraId="13DCAD43" w14:textId="4828E36E" w:rsidR="00DB71B5" w:rsidRPr="009F1C18" w:rsidRDefault="008E14E1" w:rsidP="009F1C18">
      <w:r w:rsidRPr="009F1C18">
        <w:t>A TRE for NHS patient data</w:t>
      </w:r>
      <w:r w:rsidR="00055ECF" w:rsidRPr="009F1C18">
        <w:rPr>
          <w:vertAlign w:val="superscript"/>
        </w:rPr>
        <w:footnoteReference w:id="4"/>
      </w:r>
      <w:r w:rsidR="005030F5" w:rsidRPr="009F1C18">
        <w:rPr>
          <w:vertAlign w:val="superscript"/>
        </w:rPr>
        <w:t xml:space="preserve"> </w:t>
      </w:r>
      <w:r w:rsidRPr="009F1C18">
        <w:t>would have a number of objectives, including</w:t>
      </w:r>
      <w:r w:rsidR="00DB71B5" w:rsidRPr="009F1C18">
        <w:t xml:space="preserve">: </w:t>
      </w:r>
    </w:p>
    <w:p w14:paraId="72D62ECD" w14:textId="3AE2AC33" w:rsidR="00DE53B4" w:rsidRPr="009F1C18" w:rsidRDefault="006F4903" w:rsidP="0024229C">
      <w:pPr>
        <w:pStyle w:val="ListParagraph"/>
        <w:numPr>
          <w:ilvl w:val="0"/>
          <w:numId w:val="9"/>
        </w:numPr>
      </w:pPr>
      <w:r w:rsidRPr="009F1C18">
        <w:t xml:space="preserve">the </w:t>
      </w:r>
      <w:r w:rsidR="005030F5" w:rsidRPr="009F1C18">
        <w:t>preservation of</w:t>
      </w:r>
      <w:r w:rsidR="00DE53B4" w:rsidRPr="009F1C18">
        <w:t xml:space="preserve"> patients’ privacy (e.g. by obstructing attempts to re-identify patients in data); </w:t>
      </w:r>
    </w:p>
    <w:p w14:paraId="16AFAA3B" w14:textId="3EEAA8D5" w:rsidR="00DE53B4" w:rsidRPr="009F1C18" w:rsidRDefault="00DE53B4" w:rsidP="0024229C">
      <w:pPr>
        <w:pStyle w:val="ListParagraph"/>
        <w:numPr>
          <w:ilvl w:val="0"/>
          <w:numId w:val="9"/>
        </w:numPr>
      </w:pPr>
      <w:r w:rsidRPr="009F1C18">
        <w:t xml:space="preserve">high quality and reproducible data quality (through, for instance, supporting </w:t>
      </w:r>
      <w:r w:rsidR="00DB71B5" w:rsidRPr="009F1C18">
        <w:t xml:space="preserve">the </w:t>
      </w:r>
      <w:r w:rsidRPr="009F1C18">
        <w:t>standardisation of re-usable code for common data management)</w:t>
      </w:r>
    </w:p>
    <w:p w14:paraId="06217749" w14:textId="1CC70420" w:rsidR="003E32C8" w:rsidRPr="009F1C18" w:rsidRDefault="00DE53B4" w:rsidP="0024229C">
      <w:pPr>
        <w:pStyle w:val="ListParagraph"/>
        <w:numPr>
          <w:ilvl w:val="0"/>
          <w:numId w:val="9"/>
        </w:numPr>
      </w:pPr>
      <w:r w:rsidRPr="009F1C18">
        <w:t>a</w:t>
      </w:r>
      <w:r w:rsidR="00DB71B5" w:rsidRPr="009F1C18">
        <w:t xml:space="preserve"> secure computing environment </w:t>
      </w:r>
      <w:r w:rsidR="008A2CB4" w:rsidRPr="009F1C18">
        <w:t xml:space="preserve">and improved governance </w:t>
      </w:r>
      <w:r w:rsidR="00DB71B5" w:rsidRPr="009F1C18">
        <w:t>(</w:t>
      </w:r>
      <w:r w:rsidR="008A2CB4" w:rsidRPr="009F1C18">
        <w:t xml:space="preserve">e.g. </w:t>
      </w:r>
      <w:r w:rsidRPr="009F1C18">
        <w:t>ensuring only users with appropriate permissions can execute code on the platform)</w:t>
      </w:r>
      <w:r w:rsidR="006F0A1E" w:rsidRPr="009F1C18">
        <w:t xml:space="preserve"> </w:t>
      </w:r>
    </w:p>
    <w:p w14:paraId="626ACE96" w14:textId="441515B1" w:rsidR="00DE53B4" w:rsidRPr="009F1C18" w:rsidRDefault="003E32C8" w:rsidP="0024229C">
      <w:pPr>
        <w:pStyle w:val="ListParagraph"/>
        <w:numPr>
          <w:ilvl w:val="0"/>
          <w:numId w:val="9"/>
        </w:numPr>
      </w:pPr>
      <w:r w:rsidRPr="009F1C18">
        <w:t xml:space="preserve">public logs of all actions on patients’ records </w:t>
      </w:r>
      <w:r w:rsidR="003E4546" w:rsidRPr="009F1C18">
        <w:t>to</w:t>
      </w:r>
      <w:r w:rsidR="006F0A1E" w:rsidRPr="009F1C18">
        <w:t xml:space="preserve"> </w:t>
      </w:r>
      <w:r w:rsidR="003E4546" w:rsidRPr="009F1C18">
        <w:t xml:space="preserve">help </w:t>
      </w:r>
      <w:r w:rsidR="006F0A1E" w:rsidRPr="009F1C18">
        <w:t>prevent the misuse of data</w:t>
      </w:r>
      <w:r w:rsidR="00DE53B4" w:rsidRPr="009F1C18">
        <w:t xml:space="preserve">; </w:t>
      </w:r>
    </w:p>
    <w:p w14:paraId="5D600C61" w14:textId="6F4219DA" w:rsidR="00DE53B4" w:rsidRPr="009F1C18" w:rsidRDefault="006F4903" w:rsidP="0024229C">
      <w:pPr>
        <w:pStyle w:val="ListParagraph"/>
        <w:numPr>
          <w:ilvl w:val="0"/>
          <w:numId w:val="9"/>
        </w:numPr>
      </w:pPr>
      <w:r w:rsidRPr="009F1C18">
        <w:t xml:space="preserve">improved </w:t>
      </w:r>
      <w:r w:rsidR="00DE53B4" w:rsidRPr="009F1C18">
        <w:t>patient tru</w:t>
      </w:r>
      <w:r w:rsidR="003E4546" w:rsidRPr="009F1C18">
        <w:t>st by, for example</w:t>
      </w:r>
      <w:r w:rsidR="002E5869" w:rsidRPr="009F1C18">
        <w:t>,</w:t>
      </w:r>
      <w:r w:rsidR="003E4546" w:rsidRPr="009F1C18">
        <w:t xml:space="preserve"> </w:t>
      </w:r>
      <w:r w:rsidR="00DE53B4" w:rsidRPr="009F1C18">
        <w:t>publishing governance arrangements and how decis</w:t>
      </w:r>
      <w:r w:rsidR="006F0A1E" w:rsidRPr="009F1C18">
        <w:t>ions about data access are made;</w:t>
      </w:r>
    </w:p>
    <w:p w14:paraId="144EF78F" w14:textId="02327F17" w:rsidR="006F0A1E" w:rsidRPr="009F1C18" w:rsidRDefault="006F0A1E" w:rsidP="0024229C">
      <w:pPr>
        <w:pStyle w:val="ListParagraph"/>
        <w:numPr>
          <w:ilvl w:val="0"/>
          <w:numId w:val="9"/>
        </w:numPr>
      </w:pPr>
      <w:r w:rsidRPr="009F1C18">
        <w:t>more efficient and collaborative approaches to data science where methods and code become open, available for discussion, review and re-use</w:t>
      </w:r>
      <w:r w:rsidR="003E32C8" w:rsidRPr="009F1C18">
        <w:t>;</w:t>
      </w:r>
      <w:r w:rsidR="002E5869" w:rsidRPr="009F1C18">
        <w:t xml:space="preserve"> and</w:t>
      </w:r>
    </w:p>
    <w:p w14:paraId="47EF07C5" w14:textId="200D6321" w:rsidR="006F4903" w:rsidRPr="009F1C18" w:rsidRDefault="006F4903" w:rsidP="0024229C">
      <w:pPr>
        <w:pStyle w:val="ListParagraph"/>
        <w:numPr>
          <w:ilvl w:val="0"/>
          <w:numId w:val="9"/>
        </w:numPr>
      </w:pPr>
      <w:r w:rsidRPr="009F1C18">
        <w:t>better risk management</w:t>
      </w:r>
      <w:r w:rsidR="002E5869" w:rsidRPr="009F1C18">
        <w:t xml:space="preserve">, meaning </w:t>
      </w:r>
      <w:r w:rsidR="003E32C8" w:rsidRPr="009F1C18">
        <w:t xml:space="preserve">gatekeepers </w:t>
      </w:r>
      <w:r w:rsidR="002E5869" w:rsidRPr="009F1C18">
        <w:t xml:space="preserve">can be more confident about granting permissions </w:t>
      </w:r>
      <w:r w:rsidR="003E32C8" w:rsidRPr="009F1C18">
        <w:t>than if data is allowed to be removed and disseminated</w:t>
      </w:r>
      <w:r w:rsidR="002E5869" w:rsidRPr="009F1C18">
        <w:t>.</w:t>
      </w:r>
    </w:p>
    <w:p w14:paraId="2A156F03" w14:textId="77777777" w:rsidR="003E32C8" w:rsidRPr="009F1C18" w:rsidRDefault="003E32C8" w:rsidP="009F1C18"/>
    <w:p w14:paraId="2FEE8D14" w14:textId="77777777" w:rsidR="00C3005A" w:rsidRPr="009F1C18" w:rsidRDefault="00C3005A" w:rsidP="009F1C18">
      <w:r w:rsidRPr="009F1C18">
        <w:lastRenderedPageBreak/>
        <w:t>Each TRE would have three components:</w:t>
      </w:r>
    </w:p>
    <w:p w14:paraId="6DA70657" w14:textId="77777777" w:rsidR="00C3005A" w:rsidRPr="009F1C18" w:rsidRDefault="00C3005A" w:rsidP="0024229C">
      <w:pPr>
        <w:pStyle w:val="ListParagraph"/>
        <w:numPr>
          <w:ilvl w:val="0"/>
          <w:numId w:val="10"/>
        </w:numPr>
      </w:pPr>
      <w:r w:rsidRPr="009F1C18">
        <w:t>a service wrapper – a common framework used by all TREs to deal with permissions, monitor access, publish activity logs and so on;</w:t>
      </w:r>
    </w:p>
    <w:p w14:paraId="3BAB1BC9" w14:textId="096544C9" w:rsidR="00C3005A" w:rsidRPr="009F1C18" w:rsidRDefault="00F7739B" w:rsidP="0024229C">
      <w:pPr>
        <w:pStyle w:val="ListParagraph"/>
        <w:numPr>
          <w:ilvl w:val="0"/>
          <w:numId w:val="10"/>
        </w:numPr>
      </w:pPr>
      <w:r w:rsidRPr="009F1C18">
        <w:t xml:space="preserve">underlying computational </w:t>
      </w:r>
      <w:r w:rsidR="00C3005A" w:rsidRPr="009F1C18">
        <w:t xml:space="preserve">aspects - largely generic tasks that can be delivered by staff with generalist software and data science skills; and </w:t>
      </w:r>
    </w:p>
    <w:p w14:paraId="2E55C251" w14:textId="77777777" w:rsidR="00C3005A" w:rsidRPr="009F1C18" w:rsidRDefault="00C3005A" w:rsidP="0024229C">
      <w:pPr>
        <w:pStyle w:val="ListParagraph"/>
        <w:numPr>
          <w:ilvl w:val="0"/>
          <w:numId w:val="10"/>
        </w:numPr>
      </w:pPr>
      <w:r w:rsidRPr="009F1C18">
        <w:t xml:space="preserve">the bespoke software necessary for work with NHS data – requiring an open, sharing approach to methods, code, tools and working practices. </w:t>
      </w:r>
    </w:p>
    <w:p w14:paraId="5095B7D2" w14:textId="77777777" w:rsidR="009D5D4C" w:rsidRPr="009F1C18" w:rsidRDefault="009D5D4C" w:rsidP="009F1C18"/>
    <w:p w14:paraId="20B05482" w14:textId="7CE75E91" w:rsidR="008A2CB4" w:rsidRPr="009F1C18" w:rsidRDefault="003E32C8" w:rsidP="009F1C18">
      <w:r w:rsidRPr="009F1C18">
        <w:t>Goldacre seems sure that</w:t>
      </w:r>
      <w:r w:rsidR="002E5869" w:rsidRPr="009F1C18">
        <w:t>,</w:t>
      </w:r>
      <w:r w:rsidRPr="009F1C18">
        <w:t xml:space="preserve"> in future</w:t>
      </w:r>
      <w:r w:rsidR="002E5869" w:rsidRPr="009F1C18">
        <w:t>,</w:t>
      </w:r>
      <w:r w:rsidRPr="009F1C18">
        <w:t xml:space="preserve"> a programme like </w:t>
      </w:r>
      <w:r w:rsidR="007D2916">
        <w:t>‘</w:t>
      </w:r>
      <w:r w:rsidRPr="009F1C18">
        <w:t>GPdata</w:t>
      </w:r>
      <w:r w:rsidR="00DC6E1E">
        <w:t>Grab</w:t>
      </w:r>
      <w:r w:rsidR="007D2916">
        <w:t>’</w:t>
      </w:r>
      <w:r w:rsidR="00DC6E1E">
        <w:t xml:space="preserve"> will only be launched when</w:t>
      </w:r>
      <w:r w:rsidRPr="009F1C18">
        <w:t xml:space="preserve"> </w:t>
      </w:r>
      <w:r w:rsidR="002E5869" w:rsidRPr="009F1C18">
        <w:t xml:space="preserve">all </w:t>
      </w:r>
      <w:r w:rsidRPr="009F1C18">
        <w:t xml:space="preserve">data access </w:t>
      </w:r>
      <w:r w:rsidR="002E5869" w:rsidRPr="009F1C18">
        <w:t>i</w:t>
      </w:r>
      <w:r w:rsidRPr="009F1C18">
        <w:t xml:space="preserve">s </w:t>
      </w:r>
      <w:r w:rsidR="002E5869" w:rsidRPr="009F1C18">
        <w:t xml:space="preserve">through </w:t>
      </w:r>
      <w:r w:rsidRPr="009F1C18">
        <w:t>a TRE</w:t>
      </w:r>
      <w:r w:rsidR="00DD545A" w:rsidRPr="009F1C18">
        <w:t xml:space="preserve">, </w:t>
      </w:r>
      <w:r w:rsidR="00DC6E1E">
        <w:t xml:space="preserve">understanding that the use of TREs is now policy. </w:t>
      </w:r>
      <w:r w:rsidR="00DD545A" w:rsidRPr="009F1C18">
        <w:t xml:space="preserve">But </w:t>
      </w:r>
      <w:r w:rsidR="002A500B">
        <w:t xml:space="preserve">in addition to the mixed messages mentioned earlier, </w:t>
      </w:r>
      <w:r w:rsidR="00DD545A" w:rsidRPr="009F1C18">
        <w:t>i</w:t>
      </w:r>
      <w:r w:rsidR="00FF6879" w:rsidRPr="009F1C18">
        <w:t xml:space="preserve">t is unclear how many TREs </w:t>
      </w:r>
      <w:r w:rsidRPr="009F1C18">
        <w:t>are planned</w:t>
      </w:r>
      <w:r w:rsidR="00DC6E1E">
        <w:t>. Because</w:t>
      </w:r>
      <w:r w:rsidR="00536BDF" w:rsidRPr="009F1C18">
        <w:t xml:space="preserve"> each new TRE brings the </w:t>
      </w:r>
      <w:r w:rsidR="008A2CB4" w:rsidRPr="009F1C18">
        <w:t>danger</w:t>
      </w:r>
      <w:r w:rsidR="00536BDF" w:rsidRPr="009F1C18">
        <w:t xml:space="preserve"> of duplicated effort and risk, </w:t>
      </w:r>
      <w:r w:rsidR="00FF6879" w:rsidRPr="009F1C18">
        <w:t xml:space="preserve">the recommendation is </w:t>
      </w:r>
      <w:r w:rsidR="00DC6E1E">
        <w:t xml:space="preserve">for </w:t>
      </w:r>
      <w:r w:rsidR="00FF6879" w:rsidRPr="009F1C18">
        <w:t xml:space="preserve">as few as possible, </w:t>
      </w:r>
      <w:r w:rsidR="00DD545A" w:rsidRPr="009F1C18">
        <w:t>with</w:t>
      </w:r>
      <w:r w:rsidR="00536BDF" w:rsidRPr="009F1C18">
        <w:t xml:space="preserve"> no more than three national TREs. </w:t>
      </w:r>
      <w:r w:rsidR="00DC6E1E">
        <w:t>However,</w:t>
      </w:r>
      <w:r w:rsidR="008A2CB4" w:rsidRPr="009F1C18">
        <w:t xml:space="preserve"> </w:t>
      </w:r>
      <w:r w:rsidR="00536BDF" w:rsidRPr="009F1C18">
        <w:t xml:space="preserve">the review also refers to an unspecified </w:t>
      </w:r>
      <w:r w:rsidR="00C605DB" w:rsidRPr="009F1C18">
        <w:t xml:space="preserve">number of smaller, satellite TREs. </w:t>
      </w:r>
      <w:r w:rsidR="008A2CB4" w:rsidRPr="009F1C18">
        <w:t xml:space="preserve">For example, </w:t>
      </w:r>
      <w:r w:rsidR="00C605DB" w:rsidRPr="009F1C18">
        <w:t xml:space="preserve">local TREs </w:t>
      </w:r>
      <w:r w:rsidR="00CE6F46">
        <w:t xml:space="preserve">could </w:t>
      </w:r>
      <w:r w:rsidR="00C605DB" w:rsidRPr="009F1C18">
        <w:t xml:space="preserve">exist for the recently legitimised ICSs that are expected to use population data to improve the quality and efficiency of care </w:t>
      </w:r>
      <w:r w:rsidR="008A2CB4" w:rsidRPr="009F1C18">
        <w:t xml:space="preserve">services. </w:t>
      </w:r>
      <w:r w:rsidR="00DC6E1E">
        <w:t>I</w:t>
      </w:r>
      <w:r w:rsidR="00DC6E1E" w:rsidRPr="009F1C18">
        <w:t xml:space="preserve">t’s unclear how these local TREs will be built - for example whether data from several ICSs will </w:t>
      </w:r>
      <w:r w:rsidR="00DC6E1E">
        <w:t xml:space="preserve">be combined to form a local TRE – although it appears that ICS TREs </w:t>
      </w:r>
      <w:r w:rsidR="008A2CB4" w:rsidRPr="009F1C18">
        <w:t>should be able to request their patients’ NHS data, cut from national datasets, to be tr</w:t>
      </w:r>
      <w:r w:rsidR="00DC6E1E">
        <w:t xml:space="preserve">ansferred to them as needed. </w:t>
      </w:r>
      <w:r w:rsidR="008A2CB4" w:rsidRPr="009F1C18">
        <w:t xml:space="preserve"> </w:t>
      </w:r>
    </w:p>
    <w:p w14:paraId="798DC249" w14:textId="32607DB2" w:rsidR="00FF6879" w:rsidRPr="009F1C18" w:rsidRDefault="00FF6879" w:rsidP="009F1C18"/>
    <w:p w14:paraId="3034BF01" w14:textId="4E95789B" w:rsidR="006276A7" w:rsidRPr="001B7D89" w:rsidRDefault="001B7D89" w:rsidP="009F1C18">
      <w:pPr>
        <w:rPr>
          <w:u w:val="single"/>
        </w:rPr>
      </w:pPr>
      <w:r>
        <w:rPr>
          <w:u w:val="single"/>
        </w:rPr>
        <w:t xml:space="preserve">3. </w:t>
      </w:r>
      <w:r w:rsidR="00DC6E1E" w:rsidRPr="001B7D89">
        <w:rPr>
          <w:u w:val="single"/>
        </w:rPr>
        <w:t>The c</w:t>
      </w:r>
      <w:r w:rsidR="00A6402E" w:rsidRPr="001B7D89">
        <w:rPr>
          <w:u w:val="single"/>
        </w:rPr>
        <w:t xml:space="preserve">ommercial use of </w:t>
      </w:r>
      <w:r w:rsidR="009B2549" w:rsidRPr="001B7D89">
        <w:rPr>
          <w:u w:val="single"/>
        </w:rPr>
        <w:t>data</w:t>
      </w:r>
    </w:p>
    <w:p w14:paraId="509F4FBA" w14:textId="10AD2692" w:rsidR="00EF274D" w:rsidRPr="009F1C18" w:rsidRDefault="00D650C5" w:rsidP="009F1C18">
      <w:r w:rsidRPr="009F1C18">
        <w:t xml:space="preserve">Goldacre argues that the confidence of </w:t>
      </w:r>
      <w:r w:rsidR="006276A7" w:rsidRPr="009F1C18">
        <w:t xml:space="preserve">those governing access </w:t>
      </w:r>
      <w:r w:rsidR="00DC6E1E">
        <w:t xml:space="preserve">will </w:t>
      </w:r>
      <w:r w:rsidRPr="009F1C18">
        <w:t>be increased by the use of TREs</w:t>
      </w:r>
      <w:r w:rsidR="006276A7" w:rsidRPr="009F1C18">
        <w:t xml:space="preserve">, </w:t>
      </w:r>
      <w:r w:rsidR="0064238E" w:rsidRPr="009F1C18">
        <w:t xml:space="preserve">while </w:t>
      </w:r>
      <w:r w:rsidR="006276A7" w:rsidRPr="009F1C18">
        <w:t xml:space="preserve">patients will also be more willing to share their data. As he acknowledges, much of patients’ concern </w:t>
      </w:r>
      <w:r w:rsidR="000E5FB7" w:rsidRPr="009F1C18">
        <w:t xml:space="preserve">about the sharing of personal data </w:t>
      </w:r>
      <w:r w:rsidR="006276A7" w:rsidRPr="009F1C18">
        <w:t xml:space="preserve">has been about </w:t>
      </w:r>
      <w:r w:rsidR="009D5D4C" w:rsidRPr="009F1C18">
        <w:t>access being granted to</w:t>
      </w:r>
      <w:r w:rsidR="000E5FB7" w:rsidRPr="009F1C18">
        <w:t xml:space="preserve"> </w:t>
      </w:r>
      <w:r w:rsidR="006276A7" w:rsidRPr="009F1C18">
        <w:t>commercial organisa</w:t>
      </w:r>
      <w:r w:rsidR="000E5FB7" w:rsidRPr="009F1C18">
        <w:t>tions. TR</w:t>
      </w:r>
      <w:r w:rsidR="006276A7" w:rsidRPr="009F1C18">
        <w:t>Es will address</w:t>
      </w:r>
      <w:r w:rsidR="000E5FB7" w:rsidRPr="009F1C18">
        <w:t xml:space="preserve"> </w:t>
      </w:r>
      <w:r w:rsidR="00EF274D" w:rsidRPr="009F1C18">
        <w:t xml:space="preserve">this </w:t>
      </w:r>
      <w:r w:rsidR="006276A7" w:rsidRPr="009F1C18">
        <w:t xml:space="preserve">by </w:t>
      </w:r>
      <w:r w:rsidR="000E5FB7" w:rsidRPr="009F1C18">
        <w:t>“</w:t>
      </w:r>
      <w:r w:rsidR="006276A7" w:rsidRPr="009F1C18">
        <w:t xml:space="preserve">providing assurance and transparency around the quality and reproducibility </w:t>
      </w:r>
      <w:r w:rsidR="000E5FB7" w:rsidRPr="009F1C18">
        <w:t xml:space="preserve">of commercial analyses”. </w:t>
      </w:r>
    </w:p>
    <w:p w14:paraId="62D0C6C4" w14:textId="77777777" w:rsidR="00EF274D" w:rsidRPr="009F1C18" w:rsidRDefault="00EF274D" w:rsidP="009F1C18"/>
    <w:p w14:paraId="70E68358" w14:textId="77777777" w:rsidR="007C2370" w:rsidRPr="009F1C18" w:rsidRDefault="000E5FB7" w:rsidP="009F1C18">
      <w:r w:rsidRPr="009F1C18">
        <w:t>Goldacre</w:t>
      </w:r>
      <w:r w:rsidR="00EF274D" w:rsidRPr="009F1C18">
        <w:t xml:space="preserve"> gave his personal view on commercial access to the House of Commons Science and Technology Committee (mentioned earlier), saying that:</w:t>
      </w:r>
    </w:p>
    <w:p w14:paraId="27459D00" w14:textId="2EBDAC0B" w:rsidR="00EF274D" w:rsidRPr="009F1C18" w:rsidRDefault="00EF274D" w:rsidP="00A6402E">
      <w:pPr>
        <w:ind w:left="720"/>
      </w:pPr>
      <w:r w:rsidRPr="009F1C18">
        <w:t xml:space="preserve"> </w:t>
      </w:r>
      <w:r w:rsidR="00A6402E">
        <w:t>“</w:t>
      </w:r>
      <w:r w:rsidRPr="009F1C18">
        <w:t>I do think that if we use trusted research environments, we can do something really important, which is to separate privacy concerns from the political or moral judgment about whether private companies should be able to profit from NHS data. We can say it is possible for a large organisation to work on your data, to make money from it, and to develop new techniques, tools or devices by using that data. We can allow them to do that without at the same time worrying that they will be able to see our medical records. After we have adopted trusted research environments and competently implemented them across the community, we can grant access to many more people. Then it becomes a pure moral or political decisio</w:t>
      </w:r>
      <w:r w:rsidR="00A6402E">
        <w:t>n about who we grant access to.“</w:t>
      </w:r>
    </w:p>
    <w:p w14:paraId="54EE0733" w14:textId="77777777" w:rsidR="009D5D4C" w:rsidRPr="009F1C18" w:rsidRDefault="009D5D4C" w:rsidP="009F1C18"/>
    <w:p w14:paraId="34B86C2B" w14:textId="77777777" w:rsidR="002A500B" w:rsidRDefault="002A500B" w:rsidP="001950E8">
      <w:r>
        <w:t xml:space="preserve">He believes </w:t>
      </w:r>
      <w:r w:rsidR="00EF274D" w:rsidRPr="009F1C18">
        <w:t xml:space="preserve">that the NHS should grant access to commercial organisations but that </w:t>
      </w:r>
      <w:r w:rsidR="009D5D4C" w:rsidRPr="009F1C18">
        <w:t xml:space="preserve">there should be </w:t>
      </w:r>
      <w:r w:rsidR="00EF274D" w:rsidRPr="009F1C18">
        <w:t>a strong strategic approach to ensuring equity in any innovations that are derived from NHS patient data</w:t>
      </w:r>
      <w:r w:rsidR="009D5D4C" w:rsidRPr="009F1C18">
        <w:t xml:space="preserve"> – in other words, a sharing of profits</w:t>
      </w:r>
      <w:r w:rsidR="00EF274D" w:rsidRPr="009F1C18">
        <w:t>.</w:t>
      </w:r>
      <w:r w:rsidR="009D5D4C" w:rsidRPr="009F1C18">
        <w:t xml:space="preserve"> </w:t>
      </w:r>
      <w:r w:rsidR="009E1B32" w:rsidRPr="009F1C18">
        <w:t xml:space="preserve">Enlarging on this point in the review, Goldacre </w:t>
      </w:r>
      <w:r w:rsidR="00D6518E" w:rsidRPr="009F1C18">
        <w:t xml:space="preserve">gives the example of </w:t>
      </w:r>
      <w:r w:rsidR="009E1B32" w:rsidRPr="009F1C18">
        <w:t xml:space="preserve">when a company’s development of an algorithm is dependent on richly detailed NHS </w:t>
      </w:r>
      <w:r w:rsidR="009E1B32" w:rsidRPr="009F1C18">
        <w:lastRenderedPageBreak/>
        <w:t>datasets</w:t>
      </w:r>
      <w:r w:rsidR="009B2549" w:rsidRPr="009F1C18">
        <w:t>. These</w:t>
      </w:r>
      <w:r w:rsidR="009E1B32" w:rsidRPr="009F1C18">
        <w:t xml:space="preserve"> </w:t>
      </w:r>
      <w:r w:rsidR="009D5D4C" w:rsidRPr="009F1C18">
        <w:t xml:space="preserve">have been </w:t>
      </w:r>
      <w:r w:rsidR="009E1B32" w:rsidRPr="009F1C18">
        <w:t xml:space="preserve">collected and curated </w:t>
      </w:r>
      <w:r w:rsidR="009D5D4C" w:rsidRPr="009F1C18">
        <w:t>at great cost over many decades</w:t>
      </w:r>
      <w:r w:rsidR="009E1B32" w:rsidRPr="009F1C18">
        <w:t xml:space="preserve"> by thous</w:t>
      </w:r>
      <w:r w:rsidR="00577FE4" w:rsidRPr="009F1C18">
        <w:t xml:space="preserve">ands of NHS technical staff, </w:t>
      </w:r>
      <w:r w:rsidR="009B2549" w:rsidRPr="009F1C18">
        <w:t xml:space="preserve">and so </w:t>
      </w:r>
      <w:r w:rsidR="004A3778">
        <w:t xml:space="preserve">he believes that </w:t>
      </w:r>
      <w:r w:rsidR="00577FE4" w:rsidRPr="009F1C18">
        <w:t xml:space="preserve">benefits </w:t>
      </w:r>
      <w:r w:rsidR="009D5D4C" w:rsidRPr="009F1C18">
        <w:t xml:space="preserve">should </w:t>
      </w:r>
      <w:r w:rsidR="00577FE4" w:rsidRPr="009F1C18">
        <w:t>accrue to the NHS</w:t>
      </w:r>
      <w:r>
        <w:t>,</w:t>
      </w:r>
      <w:r w:rsidR="00577FE4" w:rsidRPr="009F1C18">
        <w:t xml:space="preserve"> even if the project does not deliver a commercial output or revenue. </w:t>
      </w:r>
    </w:p>
    <w:p w14:paraId="6C058B7B" w14:textId="77777777" w:rsidR="002A500B" w:rsidRDefault="002A500B" w:rsidP="001950E8"/>
    <w:p w14:paraId="224A0EB5" w14:textId="6C354C95" w:rsidR="009E1B32" w:rsidRPr="009F1C18" w:rsidRDefault="002A500B" w:rsidP="001950E8">
      <w:r>
        <w:t xml:space="preserve">The </w:t>
      </w:r>
      <w:r w:rsidR="004A3778">
        <w:t xml:space="preserve">National Data Guardian, Nicola Byrne, finds this worrying. </w:t>
      </w:r>
      <w:r>
        <w:t xml:space="preserve">In her evidence to the </w:t>
      </w:r>
      <w:hyperlink r:id="rId12" w:history="1">
        <w:r w:rsidRPr="002A500B">
          <w:rPr>
            <w:rStyle w:val="Hyperlink"/>
          </w:rPr>
          <w:t>Science and Technology Committee</w:t>
        </w:r>
      </w:hyperlink>
      <w:r>
        <w:t xml:space="preserve">, she </w:t>
      </w:r>
      <w:r w:rsidR="0014376A">
        <w:t xml:space="preserve">said </w:t>
      </w:r>
      <w:r w:rsidR="00562F8C">
        <w:t xml:space="preserve">she would not want to see any financial contribution </w:t>
      </w:r>
      <w:r w:rsidR="0014376A">
        <w:t xml:space="preserve">made by </w:t>
      </w:r>
      <w:r w:rsidR="00562F8C">
        <w:t xml:space="preserve">a company </w:t>
      </w:r>
      <w:r>
        <w:t xml:space="preserve">to the NHS </w:t>
      </w:r>
      <w:r w:rsidR="00CE6F46">
        <w:t xml:space="preserve">to </w:t>
      </w:r>
      <w:r w:rsidR="00562F8C">
        <w:t>mean that their ethi</w:t>
      </w:r>
      <w:r>
        <w:t xml:space="preserve">cal obligations were “paid off”. She is also concerned </w:t>
      </w:r>
      <w:r w:rsidR="00562F8C">
        <w:t>that there is a risk of u</w:t>
      </w:r>
      <w:r>
        <w:t xml:space="preserve">nderestimating the value of NHS </w:t>
      </w:r>
      <w:r w:rsidR="00562F8C">
        <w:t>data, which cannot be understood just in fiscal terms in the short or medium term</w:t>
      </w:r>
      <w:r w:rsidR="001950E8">
        <w:t xml:space="preserve"> – potentially, the value </w:t>
      </w:r>
      <w:r>
        <w:t xml:space="preserve">lies in </w:t>
      </w:r>
      <w:r w:rsidR="001950E8">
        <w:t>the k</w:t>
      </w:r>
      <w:r w:rsidR="0014376A">
        <w:t>nowledge that will be generated</w:t>
      </w:r>
      <w:r>
        <w:t xml:space="preserve"> </w:t>
      </w:r>
      <w:r w:rsidR="001950E8">
        <w:t>many years from now</w:t>
      </w:r>
      <w:r>
        <w:t xml:space="preserve">: the NHS should not get tied </w:t>
      </w:r>
      <w:r w:rsidR="001950E8">
        <w:t>into commercial contracts th</w:t>
      </w:r>
      <w:r w:rsidR="0014376A">
        <w:t>at give exclusive rights to</w:t>
      </w:r>
      <w:r w:rsidR="001950E8">
        <w:t xml:space="preserve"> knowledge that is then locked away from public use.</w:t>
      </w:r>
    </w:p>
    <w:p w14:paraId="32CC13D4" w14:textId="77777777" w:rsidR="009B2549" w:rsidRPr="009F1C18" w:rsidRDefault="009B2549" w:rsidP="009F1C18"/>
    <w:p w14:paraId="198A32D4" w14:textId="04029B60" w:rsidR="00B0754F" w:rsidRPr="009F1C18" w:rsidRDefault="009B2549" w:rsidP="009F1C18">
      <w:r w:rsidRPr="009F1C18">
        <w:t xml:space="preserve">The </w:t>
      </w:r>
      <w:r w:rsidR="001950E8">
        <w:t xml:space="preserve">Goldacre </w:t>
      </w:r>
      <w:r w:rsidRPr="009F1C18">
        <w:t xml:space="preserve">review seems to assume that </w:t>
      </w:r>
      <w:r w:rsidR="00761A70" w:rsidRPr="009F1C18">
        <w:t xml:space="preserve">the public will accept commercial access to their personal data if there is a frank and open discussion with them about the </w:t>
      </w:r>
      <w:r w:rsidR="00A6402E">
        <w:t xml:space="preserve">ultimate </w:t>
      </w:r>
      <w:r w:rsidR="00761A70" w:rsidRPr="009F1C18">
        <w:t xml:space="preserve">purpose, </w:t>
      </w:r>
      <w:r w:rsidRPr="009F1C18">
        <w:t xml:space="preserve">along with </w:t>
      </w:r>
      <w:r w:rsidR="00761A70" w:rsidRPr="009F1C18">
        <w:t xml:space="preserve">an explanation about the important role that the private sector plays in innovation. </w:t>
      </w:r>
      <w:r w:rsidRPr="009F1C18">
        <w:t xml:space="preserve">There is little sense that </w:t>
      </w:r>
      <w:r w:rsidR="00DC6E1E">
        <w:t xml:space="preserve">patients </w:t>
      </w:r>
      <w:r w:rsidR="002A500B">
        <w:t>may</w:t>
      </w:r>
      <w:r w:rsidR="00A6402E">
        <w:t xml:space="preserve"> </w:t>
      </w:r>
      <w:r w:rsidR="0059519C">
        <w:t xml:space="preserve">distrust </w:t>
      </w:r>
      <w:r w:rsidR="0014376A">
        <w:t xml:space="preserve">data use driven by commercial gain and </w:t>
      </w:r>
      <w:r w:rsidR="00A6402E">
        <w:t xml:space="preserve">be </w:t>
      </w:r>
      <w:r w:rsidR="007F6B8E" w:rsidRPr="009F1C18">
        <w:t>unhappy about private companies profit</w:t>
      </w:r>
      <w:r w:rsidR="00DC6E1E">
        <w:t>ing</w:t>
      </w:r>
      <w:r w:rsidR="007F6B8E" w:rsidRPr="009F1C18">
        <w:t xml:space="preserve"> from </w:t>
      </w:r>
      <w:r w:rsidR="0059519C">
        <w:t xml:space="preserve">access to </w:t>
      </w:r>
      <w:r w:rsidR="007F6B8E" w:rsidRPr="009F1C18">
        <w:t xml:space="preserve">their </w:t>
      </w:r>
      <w:r w:rsidR="0059519C">
        <w:t>personal health data</w:t>
      </w:r>
      <w:r w:rsidR="002A500B">
        <w:t>, wheth</w:t>
      </w:r>
      <w:r w:rsidR="0014376A">
        <w:t>er or not some of that profit was</w:t>
      </w:r>
      <w:r w:rsidR="002A500B">
        <w:t xml:space="preserve"> </w:t>
      </w:r>
      <w:r w:rsidR="0059519C">
        <w:t>shared with the NHS</w:t>
      </w:r>
      <w:r w:rsidR="007F6B8E" w:rsidRPr="009F1C18">
        <w:t>.</w:t>
      </w:r>
      <w:r w:rsidR="008F18BB">
        <w:t xml:space="preserve"> There is also little</w:t>
      </w:r>
      <w:r w:rsidR="00CE6F46">
        <w:t xml:space="preserve"> sign of major engagement with the public about any of this. </w:t>
      </w:r>
    </w:p>
    <w:p w14:paraId="6E9F4269" w14:textId="77777777" w:rsidR="00BD7FB1" w:rsidRPr="009F1C18" w:rsidRDefault="00BD7FB1" w:rsidP="009F1C18"/>
    <w:p w14:paraId="6EC3AB8E" w14:textId="4810CEA7" w:rsidR="00BD7FB1" w:rsidRPr="009F1C18" w:rsidRDefault="00DC6E1E" w:rsidP="009F1C18">
      <w:r w:rsidRPr="009F1C18">
        <w:t xml:space="preserve">Referring to the common practice of NHS organisations to outsource analytic work to commercial providers, Goldacre notes </w:t>
      </w:r>
      <w:r>
        <w:t xml:space="preserve">the </w:t>
      </w:r>
      <w:r w:rsidRPr="009F1C18">
        <w:t xml:space="preserve">advantages, such as economies of scale, but also </w:t>
      </w:r>
      <w:r>
        <w:t xml:space="preserve">the </w:t>
      </w:r>
      <w:r w:rsidRPr="009F1C18">
        <w:t xml:space="preserve">risks. For example, NHS data analysis is detailed, technical work requiring not just generalist data science skills but also </w:t>
      </w:r>
      <w:r>
        <w:t xml:space="preserve">deep </w:t>
      </w:r>
      <w:r w:rsidRPr="009F1C18">
        <w:t>knowledge of the clinical world and the administrative systems of the NHS. External contractors may not have this knowledge</w:t>
      </w:r>
      <w:r>
        <w:t xml:space="preserve">. </w:t>
      </w:r>
      <w:r w:rsidR="00BD7FB1" w:rsidRPr="009F1C18">
        <w:t xml:space="preserve">Goldacre suggests </w:t>
      </w:r>
      <w:r w:rsidR="00DA541A" w:rsidRPr="009F1C18">
        <w:t>that the NHS turns to external commercial businesses for analytic work partly because</w:t>
      </w:r>
      <w:r w:rsidR="00BD7FB1" w:rsidRPr="009F1C18">
        <w:t xml:space="preserve"> </w:t>
      </w:r>
      <w:r w:rsidR="00DA541A" w:rsidRPr="009F1C18">
        <w:t xml:space="preserve">of poor understanding </w:t>
      </w:r>
      <w:r w:rsidR="006E6A28" w:rsidRPr="009F1C18">
        <w:t xml:space="preserve">by </w:t>
      </w:r>
      <w:r w:rsidR="00DA541A" w:rsidRPr="009F1C18">
        <w:t xml:space="preserve">NHS </w:t>
      </w:r>
      <w:r w:rsidR="006E6A28" w:rsidRPr="009F1C18">
        <w:t xml:space="preserve">managers </w:t>
      </w:r>
      <w:r w:rsidR="00DA541A" w:rsidRPr="009F1C18">
        <w:t xml:space="preserve">of what’s involved </w:t>
      </w:r>
      <w:r w:rsidR="006E6A28" w:rsidRPr="009F1C18">
        <w:t xml:space="preserve">and </w:t>
      </w:r>
      <w:r w:rsidR="00DA541A" w:rsidRPr="009F1C18">
        <w:t xml:space="preserve">an </w:t>
      </w:r>
      <w:r w:rsidR="006E6A28" w:rsidRPr="009F1C18">
        <w:t xml:space="preserve">undervaluing </w:t>
      </w:r>
      <w:r w:rsidR="00BD7FB1" w:rsidRPr="009F1C18">
        <w:t>of the NHS analytic workforce</w:t>
      </w:r>
      <w:r w:rsidR="006E6A28" w:rsidRPr="009F1C18">
        <w:t>.</w:t>
      </w:r>
      <w:r w:rsidR="006E6A28" w:rsidRPr="009F1C18">
        <w:rPr>
          <w:vertAlign w:val="superscript"/>
        </w:rPr>
        <w:footnoteReference w:id="5"/>
      </w:r>
      <w:r w:rsidR="006E6A28" w:rsidRPr="009F1C18">
        <w:rPr>
          <w:vertAlign w:val="superscript"/>
        </w:rPr>
        <w:t xml:space="preserve"> </w:t>
      </w:r>
      <w:r w:rsidR="006E6A28" w:rsidRPr="009F1C18">
        <w:t xml:space="preserve">One of the recommendations of the review is the creation of a supportive, professionalised structure for NHS analysts, akin to </w:t>
      </w:r>
      <w:r w:rsidR="0008076D" w:rsidRPr="009F1C18">
        <w:t xml:space="preserve">that of </w:t>
      </w:r>
      <w:r w:rsidR="006E6A28" w:rsidRPr="009F1C18">
        <w:t>other government analyst profe</w:t>
      </w:r>
      <w:r w:rsidR="0008076D" w:rsidRPr="009F1C18">
        <w:t>ssions with, for example, clear career paths</w:t>
      </w:r>
      <w:r w:rsidR="00FE671B" w:rsidRPr="009F1C18">
        <w:t xml:space="preserve">, qualifications, technical job descriptions, </w:t>
      </w:r>
      <w:r w:rsidR="0008076D" w:rsidRPr="009F1C18">
        <w:t xml:space="preserve">and </w:t>
      </w:r>
      <w:r w:rsidR="006E6A28" w:rsidRPr="009F1C18">
        <w:t>continuing professional development</w:t>
      </w:r>
      <w:r w:rsidR="0008076D" w:rsidRPr="009F1C18">
        <w:t xml:space="preserve">. </w:t>
      </w:r>
      <w:r w:rsidR="006E6A28" w:rsidRPr="009F1C18">
        <w:t xml:space="preserve"> </w:t>
      </w:r>
    </w:p>
    <w:p w14:paraId="65122590" w14:textId="77777777" w:rsidR="00577FE4" w:rsidRPr="009F1C18" w:rsidRDefault="00577FE4" w:rsidP="009F1C18"/>
    <w:p w14:paraId="6F68CA3B" w14:textId="750B1996" w:rsidR="004708BD" w:rsidRPr="00A6402E" w:rsidRDefault="00C44B68" w:rsidP="009F1C18">
      <w:pPr>
        <w:rPr>
          <w:b/>
        </w:rPr>
      </w:pPr>
      <w:r w:rsidRPr="00A6402E">
        <w:rPr>
          <w:b/>
        </w:rPr>
        <w:t>Finally</w:t>
      </w:r>
    </w:p>
    <w:p w14:paraId="3C66F3F6" w14:textId="73750C37" w:rsidR="004708BD" w:rsidRDefault="004708BD" w:rsidP="009F1C18">
      <w:r w:rsidRPr="009F1C18">
        <w:t xml:space="preserve">The government’s response to the Goldacre review </w:t>
      </w:r>
      <w:r w:rsidR="00D448D3">
        <w:t xml:space="preserve">is to </w:t>
      </w:r>
      <w:r w:rsidRPr="009F1C18">
        <w:t>be included in the forthcoming Health and Social Care Data Strategy, due to set the direction for the use of data in a post-pandemic healthcare system. A </w:t>
      </w:r>
      <w:hyperlink r:id="rId13" w:tgtFrame="_blank" w:history="1">
        <w:r w:rsidRPr="009F1C18">
          <w:t>draft version</w:t>
        </w:r>
      </w:hyperlink>
      <w:r w:rsidRPr="009F1C18">
        <w:t> of the strategy was published in June 2021, with the final version expected in Spring 2022.</w:t>
      </w:r>
    </w:p>
    <w:p w14:paraId="4EE816C4" w14:textId="77777777" w:rsidR="00D55857" w:rsidRDefault="00D55857" w:rsidP="009F1C18"/>
    <w:p w14:paraId="38BE4175" w14:textId="2D250609" w:rsidR="00D55857" w:rsidRPr="00D55857" w:rsidRDefault="00D55857" w:rsidP="009F1C18">
      <w:pPr>
        <w:rPr>
          <w:sz w:val="20"/>
          <w:szCs w:val="20"/>
        </w:rPr>
      </w:pPr>
      <w:r w:rsidRPr="00D55857">
        <w:rPr>
          <w:sz w:val="20"/>
          <w:szCs w:val="20"/>
        </w:rPr>
        <w:t>June 2022</w:t>
      </w:r>
    </w:p>
    <w:p w14:paraId="222339A3" w14:textId="482204F5" w:rsidR="004708BD" w:rsidRPr="009F1C18" w:rsidRDefault="004708BD" w:rsidP="009F1C18"/>
    <w:p w14:paraId="63FE91E8" w14:textId="77777777" w:rsidR="00432ECA" w:rsidRDefault="00432ECA" w:rsidP="00432ECA">
      <w:pPr>
        <w:rPr>
          <w:b/>
          <w:sz w:val="22"/>
          <w:szCs w:val="22"/>
        </w:rPr>
      </w:pPr>
    </w:p>
    <w:p w14:paraId="3DEAC1E4" w14:textId="77777777" w:rsidR="000B4D1D" w:rsidRDefault="000B4D1D" w:rsidP="00556C0F">
      <w:pPr>
        <w:jc w:val="center"/>
        <w:rPr>
          <w:b/>
          <w:sz w:val="22"/>
          <w:szCs w:val="22"/>
        </w:rPr>
      </w:pPr>
    </w:p>
    <w:p w14:paraId="721D0BB6" w14:textId="77777777" w:rsidR="000B4D1D" w:rsidRDefault="000B4D1D" w:rsidP="00556C0F">
      <w:pPr>
        <w:jc w:val="center"/>
        <w:rPr>
          <w:b/>
          <w:sz w:val="22"/>
          <w:szCs w:val="22"/>
        </w:rPr>
      </w:pPr>
    </w:p>
    <w:p w14:paraId="14EF9E3E" w14:textId="7747BEC4" w:rsidR="00556C0F" w:rsidRDefault="00556C0F" w:rsidP="00556C0F">
      <w:pPr>
        <w:jc w:val="center"/>
        <w:rPr>
          <w:b/>
          <w:sz w:val="22"/>
          <w:szCs w:val="22"/>
        </w:rPr>
      </w:pPr>
      <w:r w:rsidRPr="00556C0F">
        <w:rPr>
          <w:b/>
          <w:sz w:val="22"/>
          <w:szCs w:val="22"/>
        </w:rPr>
        <w:t>APPENDIX 1</w:t>
      </w:r>
    </w:p>
    <w:p w14:paraId="3E785EA2" w14:textId="77777777" w:rsidR="00556C0F" w:rsidRPr="00556C0F" w:rsidRDefault="00556C0F" w:rsidP="00556C0F">
      <w:pPr>
        <w:jc w:val="center"/>
        <w:rPr>
          <w:b/>
          <w:sz w:val="22"/>
          <w:szCs w:val="22"/>
        </w:rPr>
      </w:pPr>
    </w:p>
    <w:p w14:paraId="166E6436" w14:textId="11EF2FEA" w:rsidR="00556C0F" w:rsidRPr="00556C0F" w:rsidRDefault="00556C0F" w:rsidP="00556C0F">
      <w:pPr>
        <w:jc w:val="center"/>
        <w:rPr>
          <w:b/>
          <w:sz w:val="22"/>
          <w:szCs w:val="22"/>
        </w:rPr>
      </w:pPr>
      <w:r w:rsidRPr="00556C0F">
        <w:rPr>
          <w:b/>
          <w:sz w:val="22"/>
          <w:szCs w:val="22"/>
        </w:rPr>
        <w:t xml:space="preserve">Data </w:t>
      </w:r>
      <w:r w:rsidR="00490E77">
        <w:rPr>
          <w:b/>
          <w:sz w:val="22"/>
          <w:szCs w:val="22"/>
        </w:rPr>
        <w:t xml:space="preserve">categories, data </w:t>
      </w:r>
      <w:r>
        <w:rPr>
          <w:b/>
          <w:sz w:val="22"/>
          <w:szCs w:val="22"/>
        </w:rPr>
        <w:t>user</w:t>
      </w:r>
      <w:r w:rsidR="00490E77">
        <w:rPr>
          <w:b/>
          <w:sz w:val="22"/>
          <w:szCs w:val="22"/>
        </w:rPr>
        <w:t>s</w:t>
      </w:r>
      <w:r>
        <w:rPr>
          <w:b/>
          <w:sz w:val="22"/>
          <w:szCs w:val="22"/>
        </w:rPr>
        <w:t xml:space="preserve"> </w:t>
      </w:r>
      <w:r w:rsidRPr="00556C0F">
        <w:rPr>
          <w:b/>
          <w:sz w:val="22"/>
          <w:szCs w:val="22"/>
        </w:rPr>
        <w:t xml:space="preserve">and data </w:t>
      </w:r>
      <w:r>
        <w:rPr>
          <w:b/>
          <w:sz w:val="22"/>
          <w:szCs w:val="22"/>
        </w:rPr>
        <w:t>sets</w:t>
      </w:r>
    </w:p>
    <w:p w14:paraId="47966D11" w14:textId="77777777" w:rsidR="00556C0F" w:rsidRDefault="00556C0F" w:rsidP="00556C0F">
      <w:pPr>
        <w:rPr>
          <w:sz w:val="22"/>
          <w:szCs w:val="22"/>
        </w:rPr>
      </w:pPr>
    </w:p>
    <w:p w14:paraId="4E77FD10" w14:textId="5EE57B1C" w:rsidR="00490E77" w:rsidRPr="00490E77" w:rsidRDefault="007D2916" w:rsidP="00490E77">
      <w:r>
        <w:t xml:space="preserve">In addition to outlining </w:t>
      </w:r>
      <w:r w:rsidR="00432ECA">
        <w:t xml:space="preserve">what he sees as the </w:t>
      </w:r>
      <w:r>
        <w:t xml:space="preserve">four main uses of data (see Background section), </w:t>
      </w:r>
      <w:hyperlink r:id="rId14" w:history="1">
        <w:r w:rsidR="00490E77" w:rsidRPr="00490E77">
          <w:rPr>
            <w:rStyle w:val="Hyperlink"/>
          </w:rPr>
          <w:t>Tim Ferris</w:t>
        </w:r>
      </w:hyperlink>
      <w:r>
        <w:t xml:space="preserve"> describes </w:t>
      </w:r>
      <w:r w:rsidR="004C29A3">
        <w:t>healthcare</w:t>
      </w:r>
      <w:r>
        <w:t xml:space="preserve"> data as falling</w:t>
      </w:r>
      <w:r w:rsidR="00490E77" w:rsidRPr="00490E77">
        <w:t xml:space="preserve"> into four </w:t>
      </w:r>
      <w:r w:rsidR="00490E77">
        <w:t xml:space="preserve">main </w:t>
      </w:r>
      <w:r w:rsidR="00490E77" w:rsidRPr="00490E77">
        <w:t xml:space="preserve">categories: </w:t>
      </w:r>
    </w:p>
    <w:p w14:paraId="6C342D4B" w14:textId="77777777" w:rsidR="00490E77" w:rsidRPr="00490E77" w:rsidRDefault="00490E77" w:rsidP="00490E77">
      <w:pPr>
        <w:pStyle w:val="ListParagraph"/>
        <w:numPr>
          <w:ilvl w:val="0"/>
          <w:numId w:val="12"/>
        </w:numPr>
      </w:pPr>
      <w:r w:rsidRPr="00490E77">
        <w:t xml:space="preserve">electronic patient records, managed by many different organisations using different systems; </w:t>
      </w:r>
    </w:p>
    <w:p w14:paraId="28BA9853" w14:textId="77777777" w:rsidR="00490E77" w:rsidRPr="00490E77" w:rsidRDefault="00490E77" w:rsidP="00490E77">
      <w:pPr>
        <w:pStyle w:val="ListParagraph"/>
        <w:numPr>
          <w:ilvl w:val="0"/>
          <w:numId w:val="12"/>
        </w:numPr>
      </w:pPr>
      <w:r w:rsidRPr="00490E77">
        <w:t xml:space="preserve">national data registries, containing identifiable data stored at national level; </w:t>
      </w:r>
    </w:p>
    <w:p w14:paraId="19726838" w14:textId="77777777" w:rsidR="00490E77" w:rsidRPr="00490E77" w:rsidRDefault="00490E77" w:rsidP="00490E77">
      <w:pPr>
        <w:pStyle w:val="ListParagraph"/>
        <w:numPr>
          <w:ilvl w:val="0"/>
          <w:numId w:val="12"/>
        </w:numPr>
      </w:pPr>
      <w:r w:rsidRPr="00490E77">
        <w:t xml:space="preserve">administrative data; </w:t>
      </w:r>
    </w:p>
    <w:p w14:paraId="200DDA2F" w14:textId="394C64B9" w:rsidR="00490E77" w:rsidRPr="00F75802" w:rsidRDefault="00490E77" w:rsidP="00F75802">
      <w:pPr>
        <w:pStyle w:val="ListParagraph"/>
        <w:numPr>
          <w:ilvl w:val="0"/>
          <w:numId w:val="12"/>
        </w:numPr>
        <w:rPr>
          <w:sz w:val="22"/>
          <w:szCs w:val="22"/>
        </w:rPr>
      </w:pPr>
      <w:r w:rsidRPr="00490E77">
        <w:t>omics data concerned, for example, with genomics and prote</w:t>
      </w:r>
      <w:r w:rsidR="007D2916">
        <w:t>o</w:t>
      </w:r>
      <w:r w:rsidR="00F75802">
        <w:t>mics.</w:t>
      </w:r>
    </w:p>
    <w:p w14:paraId="42C0F176" w14:textId="77777777" w:rsidR="00F75802" w:rsidRPr="00F75802" w:rsidRDefault="00F75802" w:rsidP="00F75802">
      <w:pPr>
        <w:ind w:left="360"/>
        <w:rPr>
          <w:sz w:val="22"/>
          <w:szCs w:val="22"/>
        </w:rPr>
      </w:pPr>
    </w:p>
    <w:p w14:paraId="11CF1BE8" w14:textId="2231EC97" w:rsidR="00490E77" w:rsidRPr="00490E77" w:rsidRDefault="0014376A" w:rsidP="00556C0F">
      <w:pPr>
        <w:rPr>
          <w:sz w:val="22"/>
          <w:szCs w:val="22"/>
        </w:rPr>
      </w:pPr>
      <w:r>
        <w:rPr>
          <w:sz w:val="22"/>
          <w:szCs w:val="22"/>
        </w:rPr>
        <w:t>According to Gol</w:t>
      </w:r>
      <w:r w:rsidR="007D2916">
        <w:rPr>
          <w:sz w:val="22"/>
          <w:szCs w:val="22"/>
        </w:rPr>
        <w:t>d</w:t>
      </w:r>
      <w:r>
        <w:rPr>
          <w:sz w:val="22"/>
          <w:szCs w:val="22"/>
        </w:rPr>
        <w:t>acre, d</w:t>
      </w:r>
      <w:r w:rsidR="00490E77" w:rsidRPr="00490E77">
        <w:rPr>
          <w:sz w:val="22"/>
          <w:szCs w:val="22"/>
        </w:rPr>
        <w:t>ata users and data sets include</w:t>
      </w:r>
      <w:r w:rsidR="00490E77">
        <w:rPr>
          <w:sz w:val="22"/>
          <w:szCs w:val="22"/>
        </w:rPr>
        <w:t>:</w:t>
      </w:r>
    </w:p>
    <w:p w14:paraId="2E94DE38" w14:textId="4D0B6C41" w:rsidR="00556C0F" w:rsidRPr="00C44B68" w:rsidRDefault="004C29A3" w:rsidP="00556C0F">
      <w:pPr>
        <w:pStyle w:val="ListParagraph"/>
        <w:numPr>
          <w:ilvl w:val="0"/>
          <w:numId w:val="1"/>
        </w:numPr>
        <w:rPr>
          <w:i/>
          <w:sz w:val="22"/>
          <w:szCs w:val="22"/>
        </w:rPr>
      </w:pPr>
      <w:r w:rsidRPr="00C44B68">
        <w:rPr>
          <w:sz w:val="22"/>
          <w:szCs w:val="22"/>
        </w:rPr>
        <w:t>National</w:t>
      </w:r>
      <w:r w:rsidR="00556C0F" w:rsidRPr="00C44B68">
        <w:rPr>
          <w:sz w:val="22"/>
          <w:szCs w:val="22"/>
        </w:rPr>
        <w:t xml:space="preserve"> NHS analysts, typically employed within large organisations such as NHS England, each work</w:t>
      </w:r>
      <w:r w:rsidR="00556C0F">
        <w:rPr>
          <w:sz w:val="22"/>
          <w:szCs w:val="22"/>
        </w:rPr>
        <w:t>ing</w:t>
      </w:r>
      <w:r w:rsidR="00556C0F" w:rsidRPr="00C44B68">
        <w:rPr>
          <w:sz w:val="22"/>
          <w:szCs w:val="22"/>
        </w:rPr>
        <w:t xml:space="preserve"> with their own copies of (typically) national datasets such as GP data, Hospital Episode Statistics (</w:t>
      </w:r>
      <w:r w:rsidR="007D2916">
        <w:rPr>
          <w:sz w:val="22"/>
          <w:szCs w:val="22"/>
        </w:rPr>
        <w:t>HES) and Secondary Uses Service (SUS</w:t>
      </w:r>
      <w:r w:rsidR="00556C0F" w:rsidRPr="00C44B68">
        <w:rPr>
          <w:sz w:val="22"/>
          <w:szCs w:val="22"/>
        </w:rPr>
        <w:t>), and prescribing</w:t>
      </w:r>
      <w:r w:rsidR="00556C0F">
        <w:rPr>
          <w:sz w:val="22"/>
          <w:szCs w:val="22"/>
        </w:rPr>
        <w:t xml:space="preserve"> data</w:t>
      </w:r>
      <w:r w:rsidR="00556C0F" w:rsidRPr="00C44B68">
        <w:rPr>
          <w:sz w:val="22"/>
          <w:szCs w:val="22"/>
        </w:rPr>
        <w:t xml:space="preserve"> that’s been extracted from local </w:t>
      </w:r>
      <w:r w:rsidR="00556C0F">
        <w:rPr>
          <w:sz w:val="22"/>
          <w:szCs w:val="22"/>
        </w:rPr>
        <w:t>and national organisations and wa</w:t>
      </w:r>
      <w:r w:rsidR="00556C0F" w:rsidRPr="00C44B68">
        <w:rPr>
          <w:sz w:val="22"/>
          <w:szCs w:val="22"/>
        </w:rPr>
        <w:t>s held by NHS Digital</w:t>
      </w:r>
      <w:r w:rsidR="00556C0F">
        <w:rPr>
          <w:sz w:val="22"/>
          <w:szCs w:val="22"/>
        </w:rPr>
        <w:t xml:space="preserve"> (before NHS Digital was absorbed into NHSE)</w:t>
      </w:r>
      <w:r w:rsidR="00556C0F" w:rsidRPr="00C44B68">
        <w:rPr>
          <w:sz w:val="22"/>
          <w:szCs w:val="22"/>
        </w:rPr>
        <w:t xml:space="preserve">. </w:t>
      </w:r>
    </w:p>
    <w:p w14:paraId="201DDEF1" w14:textId="2EF54A20" w:rsidR="00556C0F" w:rsidRPr="00C44B68" w:rsidRDefault="004C29A3" w:rsidP="00556C0F">
      <w:pPr>
        <w:pStyle w:val="ListParagraph"/>
        <w:numPr>
          <w:ilvl w:val="0"/>
          <w:numId w:val="1"/>
        </w:numPr>
        <w:rPr>
          <w:rFonts w:eastAsia="Times New Roman" w:cs="Times New Roman"/>
          <w:sz w:val="22"/>
          <w:szCs w:val="22"/>
        </w:rPr>
      </w:pPr>
      <w:r w:rsidRPr="00C44B68">
        <w:rPr>
          <w:sz w:val="22"/>
          <w:szCs w:val="22"/>
        </w:rPr>
        <w:t>Local</w:t>
      </w:r>
      <w:r w:rsidR="00556C0F" w:rsidRPr="00C44B68">
        <w:rPr>
          <w:sz w:val="22"/>
          <w:szCs w:val="22"/>
        </w:rPr>
        <w:t xml:space="preserve"> NHS service analysts employed by organisations such as Clinical Support Units, Clinical Commissioning Groups (and now Integrated Care Systems), GP Federations, NHS Trusts and public health teams based in local authorities. The way that these data sets are formulated varies widely, </w:t>
      </w:r>
      <w:r w:rsidR="00556C0F">
        <w:rPr>
          <w:sz w:val="22"/>
          <w:szCs w:val="22"/>
        </w:rPr>
        <w:t xml:space="preserve">and so does </w:t>
      </w:r>
      <w:r w:rsidR="00556C0F" w:rsidRPr="00C44B68">
        <w:rPr>
          <w:sz w:val="22"/>
          <w:szCs w:val="22"/>
        </w:rPr>
        <w:t>how they are managed: for example, at the moment there are160 trusts and 6500 GPs all acting as separate data controllers</w:t>
      </w:r>
      <w:r w:rsidR="00556C0F">
        <w:rPr>
          <w:sz w:val="22"/>
          <w:szCs w:val="22"/>
        </w:rPr>
        <w:t>.</w:t>
      </w:r>
      <w:r w:rsidR="00556C0F" w:rsidRPr="00C44B68">
        <w:rPr>
          <w:sz w:val="22"/>
          <w:szCs w:val="22"/>
        </w:rPr>
        <w:t xml:space="preserve"> </w:t>
      </w:r>
    </w:p>
    <w:p w14:paraId="34FE79CD" w14:textId="37A9BB28" w:rsidR="00556C0F" w:rsidRPr="00C44B68" w:rsidRDefault="004C29A3" w:rsidP="00556C0F">
      <w:pPr>
        <w:pStyle w:val="ListParagraph"/>
        <w:numPr>
          <w:ilvl w:val="0"/>
          <w:numId w:val="1"/>
        </w:numPr>
        <w:rPr>
          <w:sz w:val="22"/>
          <w:szCs w:val="22"/>
        </w:rPr>
      </w:pPr>
      <w:r w:rsidRPr="00C44B68">
        <w:rPr>
          <w:sz w:val="22"/>
          <w:szCs w:val="22"/>
        </w:rPr>
        <w:t>Academic</w:t>
      </w:r>
      <w:r w:rsidR="00556C0F" w:rsidRPr="00C44B68">
        <w:rPr>
          <w:sz w:val="22"/>
          <w:szCs w:val="22"/>
        </w:rPr>
        <w:t xml:space="preserve"> researchers, typically employed by universities, </w:t>
      </w:r>
      <w:r w:rsidR="00556C0F">
        <w:rPr>
          <w:sz w:val="22"/>
          <w:szCs w:val="22"/>
        </w:rPr>
        <w:t xml:space="preserve">who currently </w:t>
      </w:r>
      <w:r w:rsidR="00556C0F" w:rsidRPr="00C44B68">
        <w:rPr>
          <w:sz w:val="22"/>
          <w:szCs w:val="22"/>
        </w:rPr>
        <w:t>work on NHS data downloaded onto local machines;</w:t>
      </w:r>
    </w:p>
    <w:p w14:paraId="2193746F" w14:textId="46CEE83E" w:rsidR="00556C0F" w:rsidRPr="00C44B68" w:rsidRDefault="004C29A3" w:rsidP="00556C0F">
      <w:pPr>
        <w:pStyle w:val="ListParagraph"/>
        <w:numPr>
          <w:ilvl w:val="0"/>
          <w:numId w:val="1"/>
        </w:numPr>
        <w:rPr>
          <w:sz w:val="22"/>
          <w:szCs w:val="22"/>
        </w:rPr>
      </w:pPr>
      <w:r w:rsidRPr="00C44B68">
        <w:rPr>
          <w:sz w:val="22"/>
          <w:szCs w:val="22"/>
        </w:rPr>
        <w:t>Commercial</w:t>
      </w:r>
      <w:r w:rsidR="00556C0F" w:rsidRPr="00C44B68">
        <w:rPr>
          <w:sz w:val="22"/>
          <w:szCs w:val="22"/>
        </w:rPr>
        <w:t xml:space="preserve"> providers of analytic services, usually commissioned by local and national NHS organisations, </w:t>
      </w:r>
      <w:r w:rsidR="00556C0F">
        <w:rPr>
          <w:sz w:val="22"/>
          <w:szCs w:val="22"/>
        </w:rPr>
        <w:t xml:space="preserve">who </w:t>
      </w:r>
      <w:r w:rsidR="00556C0F" w:rsidRPr="00C44B68">
        <w:rPr>
          <w:sz w:val="22"/>
          <w:szCs w:val="22"/>
        </w:rPr>
        <w:t>maintain their own large databases of data extracted from the NHS;</w:t>
      </w:r>
    </w:p>
    <w:p w14:paraId="30E67A53" w14:textId="2CBE6305" w:rsidR="00556C0F" w:rsidRPr="00556C0F" w:rsidRDefault="004C29A3" w:rsidP="00556C0F">
      <w:pPr>
        <w:pStyle w:val="ListParagraph"/>
        <w:numPr>
          <w:ilvl w:val="0"/>
          <w:numId w:val="1"/>
        </w:numPr>
        <w:rPr>
          <w:sz w:val="22"/>
          <w:szCs w:val="22"/>
        </w:rPr>
      </w:pPr>
      <w:r w:rsidRPr="00C44B68">
        <w:rPr>
          <w:sz w:val="22"/>
          <w:szCs w:val="22"/>
        </w:rPr>
        <w:t>Companies</w:t>
      </w:r>
      <w:r w:rsidR="00556C0F" w:rsidRPr="00C44B68">
        <w:rPr>
          <w:sz w:val="22"/>
          <w:szCs w:val="22"/>
        </w:rPr>
        <w:t xml:space="preserve"> (or ‘innovators’) accessing data for research concerned with healthcare</w:t>
      </w:r>
      <w:r w:rsidR="00556C0F">
        <w:rPr>
          <w:sz w:val="22"/>
          <w:szCs w:val="22"/>
        </w:rPr>
        <w:t xml:space="preserve"> developments</w:t>
      </w:r>
      <w:r w:rsidR="00556C0F" w:rsidRPr="00C44B68">
        <w:rPr>
          <w:sz w:val="22"/>
          <w:szCs w:val="22"/>
        </w:rPr>
        <w:t>.</w:t>
      </w:r>
    </w:p>
    <w:p w14:paraId="72F0E694" w14:textId="77777777" w:rsidR="00BE6013" w:rsidRPr="009F1C18" w:rsidRDefault="00BE6013" w:rsidP="009F1C18"/>
    <w:p w14:paraId="4C81EC29" w14:textId="77777777" w:rsidR="000C00AE" w:rsidRPr="009F1C18" w:rsidRDefault="000C00AE" w:rsidP="009F1C18"/>
    <w:sectPr w:rsidR="000C00AE" w:rsidRPr="009F1C18" w:rsidSect="00DF108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B360" w14:textId="77777777" w:rsidR="00127649" w:rsidRDefault="00127649" w:rsidP="00D95A4F">
      <w:r>
        <w:separator/>
      </w:r>
    </w:p>
  </w:endnote>
  <w:endnote w:type="continuationSeparator" w:id="0">
    <w:p w14:paraId="019885B6" w14:textId="77777777" w:rsidR="00127649" w:rsidRDefault="00127649" w:rsidP="00D9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63200" w14:textId="77777777" w:rsidR="00127649" w:rsidRDefault="00127649" w:rsidP="00D95A4F">
      <w:r>
        <w:separator/>
      </w:r>
    </w:p>
  </w:footnote>
  <w:footnote w:type="continuationSeparator" w:id="0">
    <w:p w14:paraId="792B019F" w14:textId="77777777" w:rsidR="00127649" w:rsidRDefault="00127649" w:rsidP="00D95A4F">
      <w:r>
        <w:continuationSeparator/>
      </w:r>
    </w:p>
  </w:footnote>
  <w:footnote w:id="1">
    <w:p w14:paraId="498B0903" w14:textId="528EB1B2" w:rsidR="00CE6F46" w:rsidRPr="00D757E6" w:rsidRDefault="00CE6F46" w:rsidP="004C29A3">
      <w:pPr>
        <w:rPr>
          <w:rFonts w:eastAsia="Times New Roman" w:cs="Times New Roman"/>
          <w:sz w:val="20"/>
          <w:szCs w:val="20"/>
        </w:rPr>
      </w:pPr>
      <w:r>
        <w:rPr>
          <w:rStyle w:val="FootnoteReference"/>
        </w:rPr>
        <w:footnoteRef/>
      </w:r>
      <w:r>
        <w:t xml:space="preserve"> </w:t>
      </w:r>
      <w:r w:rsidRPr="00211F1C">
        <w:rPr>
          <w:sz w:val="18"/>
          <w:szCs w:val="18"/>
        </w:rPr>
        <w:t xml:space="preserve">GPdataGrab (or, officially, </w:t>
      </w:r>
      <w:r w:rsidRPr="00211F1C">
        <w:rPr>
          <w:rFonts w:eastAsia="Times New Roman" w:cs="Times New Roman"/>
          <w:color w:val="4A4A4A"/>
          <w:sz w:val="18"/>
          <w:szCs w:val="18"/>
          <w:shd w:val="clear" w:color="auto" w:fill="FFFFFF"/>
        </w:rPr>
        <w:t>General Practice Data for Planning and Research</w:t>
      </w:r>
      <w:r>
        <w:rPr>
          <w:sz w:val="18"/>
          <w:szCs w:val="18"/>
        </w:rPr>
        <w:t xml:space="preserve">) was the recent attempt to </w:t>
      </w:r>
      <w:r w:rsidRPr="00211F1C">
        <w:rPr>
          <w:sz w:val="18"/>
          <w:szCs w:val="18"/>
        </w:rPr>
        <w:t>collect comprehensive medical GP records and store these in a central database available for NHS planning and research, but also to private companies on the payment of fees. The scheme is currently paused.</w:t>
      </w:r>
    </w:p>
  </w:footnote>
  <w:footnote w:id="2">
    <w:p w14:paraId="76F436B4" w14:textId="2BFBBF38" w:rsidR="00CE6F46" w:rsidRPr="00D757E6" w:rsidRDefault="00CE6F46" w:rsidP="00D757E6">
      <w:pPr>
        <w:pStyle w:val="FootnoteText"/>
        <w:rPr>
          <w:sz w:val="18"/>
          <w:szCs w:val="18"/>
          <w:lang w:val="en-US"/>
        </w:rPr>
      </w:pPr>
      <w:r w:rsidRPr="00D757E6">
        <w:rPr>
          <w:rStyle w:val="FootnoteReference"/>
          <w:sz w:val="18"/>
          <w:szCs w:val="18"/>
        </w:rPr>
        <w:footnoteRef/>
      </w:r>
      <w:r w:rsidRPr="00D757E6">
        <w:rPr>
          <w:sz w:val="18"/>
          <w:szCs w:val="18"/>
        </w:rPr>
        <w:t xml:space="preserve"> </w:t>
      </w:r>
      <w:r w:rsidRPr="00D757E6">
        <w:rPr>
          <w:sz w:val="18"/>
          <w:szCs w:val="18"/>
          <w:lang w:val="en-US"/>
        </w:rPr>
        <w:t>See Appendix 1 for more detail about data users and types of data sets</w:t>
      </w:r>
    </w:p>
  </w:footnote>
  <w:footnote w:id="3">
    <w:p w14:paraId="1ACF309B" w14:textId="77777777" w:rsidR="00CE6F46" w:rsidRPr="009F1C18" w:rsidRDefault="00CE6F46" w:rsidP="0088027C">
      <w:pPr>
        <w:pStyle w:val="FootnoteText"/>
        <w:rPr>
          <w:sz w:val="18"/>
          <w:szCs w:val="18"/>
          <w:lang w:val="en-US"/>
        </w:rPr>
      </w:pPr>
      <w:r w:rsidRPr="009F1C18">
        <w:rPr>
          <w:rStyle w:val="FootnoteReference"/>
          <w:sz w:val="18"/>
          <w:szCs w:val="18"/>
        </w:rPr>
        <w:footnoteRef/>
      </w:r>
      <w:r w:rsidRPr="009F1C18">
        <w:rPr>
          <w:sz w:val="18"/>
          <w:szCs w:val="18"/>
        </w:rPr>
        <w:t xml:space="preserve"> This shortly followed NHSE taking over control of NHS digital matters from NHSX and NHS Digital. </w:t>
      </w:r>
    </w:p>
  </w:footnote>
  <w:footnote w:id="4">
    <w:p w14:paraId="2C2899D0" w14:textId="3CA0AC93" w:rsidR="00CE6F46" w:rsidRPr="002E5869" w:rsidRDefault="00CE6F46">
      <w:pPr>
        <w:pStyle w:val="FootnoteText"/>
        <w:rPr>
          <w:sz w:val="18"/>
          <w:szCs w:val="18"/>
          <w:lang w:val="en-US"/>
        </w:rPr>
      </w:pPr>
      <w:r w:rsidRPr="002E5869">
        <w:rPr>
          <w:rStyle w:val="FootnoteReference"/>
          <w:sz w:val="18"/>
          <w:szCs w:val="18"/>
        </w:rPr>
        <w:footnoteRef/>
      </w:r>
      <w:r w:rsidRPr="002E5869">
        <w:rPr>
          <w:sz w:val="18"/>
          <w:szCs w:val="18"/>
        </w:rPr>
        <w:t xml:space="preserve"> </w:t>
      </w:r>
      <w:r w:rsidRPr="002E5869">
        <w:rPr>
          <w:sz w:val="18"/>
          <w:szCs w:val="18"/>
          <w:lang w:val="en-US"/>
        </w:rPr>
        <w:t>Other types include academic TREs.</w:t>
      </w:r>
    </w:p>
  </w:footnote>
  <w:footnote w:id="5">
    <w:p w14:paraId="214339A1" w14:textId="46AA8160" w:rsidR="00CE6F46" w:rsidRPr="009F1C18" w:rsidRDefault="00CE6F46">
      <w:pPr>
        <w:pStyle w:val="FootnoteText"/>
        <w:rPr>
          <w:sz w:val="18"/>
          <w:szCs w:val="18"/>
          <w:lang w:val="en-US"/>
        </w:rPr>
      </w:pPr>
      <w:r w:rsidRPr="009F1C18">
        <w:rPr>
          <w:rStyle w:val="FootnoteReference"/>
          <w:sz w:val="18"/>
          <w:szCs w:val="18"/>
        </w:rPr>
        <w:footnoteRef/>
      </w:r>
      <w:r w:rsidRPr="009F1C18">
        <w:rPr>
          <w:sz w:val="18"/>
          <w:szCs w:val="18"/>
        </w:rPr>
        <w:t xml:space="preserve"> </w:t>
      </w:r>
      <w:r w:rsidRPr="009F1C18">
        <w:rPr>
          <w:sz w:val="18"/>
          <w:szCs w:val="18"/>
          <w:lang w:val="en-US"/>
        </w:rPr>
        <w:t xml:space="preserve">NHS analysts reported that it is not uncommon </w:t>
      </w:r>
      <w:r w:rsidRPr="009F1C18">
        <w:rPr>
          <w:rFonts w:cs="Arial"/>
          <w:color w:val="0B0C0C"/>
          <w:sz w:val="18"/>
          <w:szCs w:val="18"/>
        </w:rPr>
        <w:t>for an external provider to turn to them to provide the very work that the outsourced provider had been paid to 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A2B"/>
    <w:multiLevelType w:val="hybridMultilevel"/>
    <w:tmpl w:val="634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E44A8"/>
    <w:multiLevelType w:val="hybridMultilevel"/>
    <w:tmpl w:val="6944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25B00"/>
    <w:multiLevelType w:val="hybridMultilevel"/>
    <w:tmpl w:val="A7FE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448C1"/>
    <w:multiLevelType w:val="hybridMultilevel"/>
    <w:tmpl w:val="D358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32682"/>
    <w:multiLevelType w:val="hybridMultilevel"/>
    <w:tmpl w:val="F69EB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35227"/>
    <w:multiLevelType w:val="hybridMultilevel"/>
    <w:tmpl w:val="2CC8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A87887"/>
    <w:multiLevelType w:val="hybridMultilevel"/>
    <w:tmpl w:val="3D34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7A35DC"/>
    <w:multiLevelType w:val="hybridMultilevel"/>
    <w:tmpl w:val="D7A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1158F"/>
    <w:multiLevelType w:val="hybridMultilevel"/>
    <w:tmpl w:val="7A7E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A65E9F"/>
    <w:multiLevelType w:val="hybridMultilevel"/>
    <w:tmpl w:val="6D6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47EE8"/>
    <w:multiLevelType w:val="hybridMultilevel"/>
    <w:tmpl w:val="D57C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40BA0"/>
    <w:multiLevelType w:val="hybridMultilevel"/>
    <w:tmpl w:val="71D4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47699"/>
    <w:multiLevelType w:val="hybridMultilevel"/>
    <w:tmpl w:val="21A0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063537"/>
    <w:multiLevelType w:val="multilevel"/>
    <w:tmpl w:val="54C4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2232049">
    <w:abstractNumId w:val="5"/>
  </w:num>
  <w:num w:numId="2" w16cid:durableId="981227675">
    <w:abstractNumId w:val="13"/>
  </w:num>
  <w:num w:numId="3" w16cid:durableId="16467400">
    <w:abstractNumId w:val="6"/>
  </w:num>
  <w:num w:numId="4" w16cid:durableId="1520462487">
    <w:abstractNumId w:val="1"/>
  </w:num>
  <w:num w:numId="5" w16cid:durableId="757561149">
    <w:abstractNumId w:val="12"/>
  </w:num>
  <w:num w:numId="6" w16cid:durableId="835729772">
    <w:abstractNumId w:val="0"/>
  </w:num>
  <w:num w:numId="7" w16cid:durableId="1290474912">
    <w:abstractNumId w:val="9"/>
  </w:num>
  <w:num w:numId="8" w16cid:durableId="1910069011">
    <w:abstractNumId w:val="10"/>
  </w:num>
  <w:num w:numId="9" w16cid:durableId="264923485">
    <w:abstractNumId w:val="11"/>
  </w:num>
  <w:num w:numId="10" w16cid:durableId="655688860">
    <w:abstractNumId w:val="8"/>
  </w:num>
  <w:num w:numId="11" w16cid:durableId="1576545212">
    <w:abstractNumId w:val="7"/>
  </w:num>
  <w:num w:numId="12" w16cid:durableId="231964458">
    <w:abstractNumId w:val="3"/>
  </w:num>
  <w:num w:numId="13" w16cid:durableId="141849345">
    <w:abstractNumId w:val="2"/>
  </w:num>
  <w:num w:numId="14" w16cid:durableId="443236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B7"/>
    <w:rsid w:val="00007F04"/>
    <w:rsid w:val="00015455"/>
    <w:rsid w:val="00055ECF"/>
    <w:rsid w:val="00071DFB"/>
    <w:rsid w:val="0008076D"/>
    <w:rsid w:val="00080EF3"/>
    <w:rsid w:val="00082314"/>
    <w:rsid w:val="00091AEC"/>
    <w:rsid w:val="000B4D1D"/>
    <w:rsid w:val="000C00AE"/>
    <w:rsid w:val="000E408D"/>
    <w:rsid w:val="000E5FB7"/>
    <w:rsid w:val="00127649"/>
    <w:rsid w:val="00142964"/>
    <w:rsid w:val="0014376A"/>
    <w:rsid w:val="001510B5"/>
    <w:rsid w:val="001950E8"/>
    <w:rsid w:val="001A42DD"/>
    <w:rsid w:val="001B7D89"/>
    <w:rsid w:val="001C2C74"/>
    <w:rsid w:val="001C3125"/>
    <w:rsid w:val="00211F1C"/>
    <w:rsid w:val="002270B2"/>
    <w:rsid w:val="0024229C"/>
    <w:rsid w:val="002548BC"/>
    <w:rsid w:val="00260455"/>
    <w:rsid w:val="00264A6F"/>
    <w:rsid w:val="002A500B"/>
    <w:rsid w:val="002C1FFA"/>
    <w:rsid w:val="002D4342"/>
    <w:rsid w:val="002E5869"/>
    <w:rsid w:val="002F05F8"/>
    <w:rsid w:val="002F3CB7"/>
    <w:rsid w:val="00317BF6"/>
    <w:rsid w:val="00323F0D"/>
    <w:rsid w:val="00351469"/>
    <w:rsid w:val="00364111"/>
    <w:rsid w:val="00365037"/>
    <w:rsid w:val="00382993"/>
    <w:rsid w:val="0038457C"/>
    <w:rsid w:val="003904CE"/>
    <w:rsid w:val="003A1638"/>
    <w:rsid w:val="003C3A26"/>
    <w:rsid w:val="003E32C8"/>
    <w:rsid w:val="003E4546"/>
    <w:rsid w:val="00406134"/>
    <w:rsid w:val="00432ECA"/>
    <w:rsid w:val="00462B31"/>
    <w:rsid w:val="004708BD"/>
    <w:rsid w:val="00480D94"/>
    <w:rsid w:val="00490E77"/>
    <w:rsid w:val="004A3778"/>
    <w:rsid w:val="004A43FD"/>
    <w:rsid w:val="004C29A3"/>
    <w:rsid w:val="004E2EBD"/>
    <w:rsid w:val="005003D9"/>
    <w:rsid w:val="005030F5"/>
    <w:rsid w:val="00536BDF"/>
    <w:rsid w:val="00556C0F"/>
    <w:rsid w:val="00562F8C"/>
    <w:rsid w:val="005744F8"/>
    <w:rsid w:val="00577FE4"/>
    <w:rsid w:val="0059519C"/>
    <w:rsid w:val="005B7119"/>
    <w:rsid w:val="005E453E"/>
    <w:rsid w:val="00605E63"/>
    <w:rsid w:val="006276A7"/>
    <w:rsid w:val="0064238E"/>
    <w:rsid w:val="006473B2"/>
    <w:rsid w:val="006571E1"/>
    <w:rsid w:val="006A0D4F"/>
    <w:rsid w:val="006B6986"/>
    <w:rsid w:val="006E6A28"/>
    <w:rsid w:val="006F0A1E"/>
    <w:rsid w:val="006F4903"/>
    <w:rsid w:val="007309E3"/>
    <w:rsid w:val="00761A70"/>
    <w:rsid w:val="00764C29"/>
    <w:rsid w:val="00767547"/>
    <w:rsid w:val="0076799A"/>
    <w:rsid w:val="007A039E"/>
    <w:rsid w:val="007C2370"/>
    <w:rsid w:val="007C6CF9"/>
    <w:rsid w:val="007D1875"/>
    <w:rsid w:val="007D2916"/>
    <w:rsid w:val="007D518E"/>
    <w:rsid w:val="007D7D47"/>
    <w:rsid w:val="007E07F3"/>
    <w:rsid w:val="007E33B0"/>
    <w:rsid w:val="007F6B8E"/>
    <w:rsid w:val="00805393"/>
    <w:rsid w:val="00810788"/>
    <w:rsid w:val="008367BF"/>
    <w:rsid w:val="00842895"/>
    <w:rsid w:val="0088027C"/>
    <w:rsid w:val="0088082C"/>
    <w:rsid w:val="008A2AF4"/>
    <w:rsid w:val="008A2CB4"/>
    <w:rsid w:val="008B50EB"/>
    <w:rsid w:val="008D181B"/>
    <w:rsid w:val="008D7FEB"/>
    <w:rsid w:val="008E14E1"/>
    <w:rsid w:val="008F18BB"/>
    <w:rsid w:val="009448F3"/>
    <w:rsid w:val="009629F3"/>
    <w:rsid w:val="00981EE5"/>
    <w:rsid w:val="009B2549"/>
    <w:rsid w:val="009C6644"/>
    <w:rsid w:val="009D5D4C"/>
    <w:rsid w:val="009E1B32"/>
    <w:rsid w:val="009F1C18"/>
    <w:rsid w:val="00A25B6F"/>
    <w:rsid w:val="00A6402E"/>
    <w:rsid w:val="00A70C4D"/>
    <w:rsid w:val="00A76B7C"/>
    <w:rsid w:val="00AB1A71"/>
    <w:rsid w:val="00AE2B36"/>
    <w:rsid w:val="00AF0DC5"/>
    <w:rsid w:val="00B0754F"/>
    <w:rsid w:val="00B16D1A"/>
    <w:rsid w:val="00BA6B11"/>
    <w:rsid w:val="00BC0901"/>
    <w:rsid w:val="00BD7FB1"/>
    <w:rsid w:val="00BE6013"/>
    <w:rsid w:val="00C3005A"/>
    <w:rsid w:val="00C44B68"/>
    <w:rsid w:val="00C605DB"/>
    <w:rsid w:val="00C8632F"/>
    <w:rsid w:val="00CC1958"/>
    <w:rsid w:val="00CD79F8"/>
    <w:rsid w:val="00CE6F46"/>
    <w:rsid w:val="00D2751C"/>
    <w:rsid w:val="00D448D3"/>
    <w:rsid w:val="00D54169"/>
    <w:rsid w:val="00D55857"/>
    <w:rsid w:val="00D650C5"/>
    <w:rsid w:val="00D6518E"/>
    <w:rsid w:val="00D757E6"/>
    <w:rsid w:val="00D76767"/>
    <w:rsid w:val="00D95A4F"/>
    <w:rsid w:val="00D9726E"/>
    <w:rsid w:val="00DA541A"/>
    <w:rsid w:val="00DB71B5"/>
    <w:rsid w:val="00DC6E1E"/>
    <w:rsid w:val="00DD1625"/>
    <w:rsid w:val="00DD545A"/>
    <w:rsid w:val="00DE4F5A"/>
    <w:rsid w:val="00DE53B4"/>
    <w:rsid w:val="00DF108A"/>
    <w:rsid w:val="00E04C9A"/>
    <w:rsid w:val="00E12FBD"/>
    <w:rsid w:val="00E14875"/>
    <w:rsid w:val="00E476BF"/>
    <w:rsid w:val="00EA4BDF"/>
    <w:rsid w:val="00EC5A66"/>
    <w:rsid w:val="00EF274D"/>
    <w:rsid w:val="00F23628"/>
    <w:rsid w:val="00F505FF"/>
    <w:rsid w:val="00F51737"/>
    <w:rsid w:val="00F61DC3"/>
    <w:rsid w:val="00F71ADD"/>
    <w:rsid w:val="00F75802"/>
    <w:rsid w:val="00F7739B"/>
    <w:rsid w:val="00FA142C"/>
    <w:rsid w:val="00FE671B"/>
    <w:rsid w:val="00FF6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69744"/>
  <w14:defaultImageDpi w14:val="300"/>
  <w15:docId w15:val="{C96CE698-A153-BE4D-BAFD-F57BA328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Normal"/>
    <w:next w:val="Normal"/>
    <w:link w:val="Heading4Char"/>
    <w:uiPriority w:val="9"/>
    <w:semiHidden/>
    <w:unhideWhenUsed/>
    <w:qFormat/>
    <w:rsid w:val="00EA4BD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8B50EB"/>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B7"/>
    <w:pPr>
      <w:ind w:left="720"/>
      <w:contextualSpacing/>
    </w:pPr>
  </w:style>
  <w:style w:type="paragraph" w:styleId="NormalWeb">
    <w:name w:val="Normal (Web)"/>
    <w:basedOn w:val="Normal"/>
    <w:uiPriority w:val="99"/>
    <w:unhideWhenUsed/>
    <w:rsid w:val="000C00A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0C00AE"/>
    <w:rPr>
      <w:b/>
      <w:bCs/>
    </w:rPr>
  </w:style>
  <w:style w:type="character" w:customStyle="1" w:styleId="apple-converted-space">
    <w:name w:val="apple-converted-space"/>
    <w:basedOn w:val="DefaultParagraphFont"/>
    <w:rsid w:val="000C00AE"/>
  </w:style>
  <w:style w:type="character" w:styleId="Hyperlink">
    <w:name w:val="Hyperlink"/>
    <w:basedOn w:val="DefaultParagraphFont"/>
    <w:uiPriority w:val="99"/>
    <w:unhideWhenUsed/>
    <w:rsid w:val="000C00AE"/>
    <w:rPr>
      <w:color w:val="0000FF"/>
      <w:u w:val="single"/>
    </w:rPr>
  </w:style>
  <w:style w:type="character" w:customStyle="1" w:styleId="Heading5Char">
    <w:name w:val="Heading 5 Char"/>
    <w:basedOn w:val="DefaultParagraphFont"/>
    <w:link w:val="Heading5"/>
    <w:uiPriority w:val="9"/>
    <w:rsid w:val="008B50EB"/>
    <w:rPr>
      <w:rFonts w:ascii="Times New Roman" w:hAnsi="Times New Roman" w:cs="Times New Roman"/>
      <w:b/>
      <w:bCs/>
      <w:sz w:val="20"/>
      <w:szCs w:val="20"/>
      <w:lang w:val="en-GB"/>
    </w:rPr>
  </w:style>
  <w:style w:type="paragraph" w:styleId="FootnoteText">
    <w:name w:val="footnote text"/>
    <w:basedOn w:val="Normal"/>
    <w:link w:val="FootnoteTextChar"/>
    <w:uiPriority w:val="99"/>
    <w:unhideWhenUsed/>
    <w:rsid w:val="004E2EBD"/>
  </w:style>
  <w:style w:type="character" w:customStyle="1" w:styleId="FootnoteTextChar">
    <w:name w:val="Footnote Text Char"/>
    <w:basedOn w:val="DefaultParagraphFont"/>
    <w:link w:val="FootnoteText"/>
    <w:uiPriority w:val="99"/>
    <w:rsid w:val="004E2EBD"/>
    <w:rPr>
      <w:lang w:val="en-GB"/>
    </w:rPr>
  </w:style>
  <w:style w:type="character" w:styleId="FootnoteReference">
    <w:name w:val="footnote reference"/>
    <w:basedOn w:val="DefaultParagraphFont"/>
    <w:uiPriority w:val="99"/>
    <w:unhideWhenUsed/>
    <w:rsid w:val="004E2EBD"/>
    <w:rPr>
      <w:vertAlign w:val="superscript"/>
    </w:rPr>
  </w:style>
  <w:style w:type="character" w:styleId="FollowedHyperlink">
    <w:name w:val="FollowedHyperlink"/>
    <w:basedOn w:val="DefaultParagraphFont"/>
    <w:uiPriority w:val="99"/>
    <w:semiHidden/>
    <w:unhideWhenUsed/>
    <w:rsid w:val="002E5869"/>
    <w:rPr>
      <w:color w:val="800080" w:themeColor="followedHyperlink"/>
      <w:u w:val="single"/>
    </w:rPr>
  </w:style>
  <w:style w:type="character" w:customStyle="1" w:styleId="Heading4Char">
    <w:name w:val="Heading 4 Char"/>
    <w:basedOn w:val="DefaultParagraphFont"/>
    <w:link w:val="Heading4"/>
    <w:uiPriority w:val="9"/>
    <w:semiHidden/>
    <w:rsid w:val="00EA4BDF"/>
    <w:rPr>
      <w:rFonts w:asciiTheme="majorHAnsi" w:eastAsiaTheme="majorEastAsia" w:hAnsiTheme="majorHAnsi" w:cstheme="majorBidi"/>
      <w:b/>
      <w:bCs/>
      <w:i/>
      <w:iCs/>
      <w:color w:val="4F81BD" w:themeColor="accent1"/>
      <w:lang w:val="en-GB"/>
    </w:rPr>
  </w:style>
  <w:style w:type="paragraph" w:customStyle="1" w:styleId="last-child">
    <w:name w:val="last-child"/>
    <w:basedOn w:val="Normal"/>
    <w:rsid w:val="00EA4BDF"/>
    <w:pPr>
      <w:spacing w:before="100" w:beforeAutospacing="1" w:after="100" w:afterAutospacing="1"/>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8184">
      <w:bodyDiv w:val="1"/>
      <w:marLeft w:val="0"/>
      <w:marRight w:val="0"/>
      <w:marTop w:val="0"/>
      <w:marBottom w:val="0"/>
      <w:divBdr>
        <w:top w:val="none" w:sz="0" w:space="0" w:color="auto"/>
        <w:left w:val="none" w:sz="0" w:space="0" w:color="auto"/>
        <w:bottom w:val="none" w:sz="0" w:space="0" w:color="auto"/>
        <w:right w:val="none" w:sz="0" w:space="0" w:color="auto"/>
      </w:divBdr>
    </w:div>
    <w:div w:id="129713338">
      <w:bodyDiv w:val="1"/>
      <w:marLeft w:val="0"/>
      <w:marRight w:val="0"/>
      <w:marTop w:val="0"/>
      <w:marBottom w:val="0"/>
      <w:divBdr>
        <w:top w:val="none" w:sz="0" w:space="0" w:color="auto"/>
        <w:left w:val="none" w:sz="0" w:space="0" w:color="auto"/>
        <w:bottom w:val="none" w:sz="0" w:space="0" w:color="auto"/>
        <w:right w:val="none" w:sz="0" w:space="0" w:color="auto"/>
      </w:divBdr>
    </w:div>
    <w:div w:id="296570604">
      <w:bodyDiv w:val="1"/>
      <w:marLeft w:val="0"/>
      <w:marRight w:val="0"/>
      <w:marTop w:val="0"/>
      <w:marBottom w:val="0"/>
      <w:divBdr>
        <w:top w:val="none" w:sz="0" w:space="0" w:color="auto"/>
        <w:left w:val="none" w:sz="0" w:space="0" w:color="auto"/>
        <w:bottom w:val="none" w:sz="0" w:space="0" w:color="auto"/>
        <w:right w:val="none" w:sz="0" w:space="0" w:color="auto"/>
      </w:divBdr>
    </w:div>
    <w:div w:id="305204879">
      <w:bodyDiv w:val="1"/>
      <w:marLeft w:val="0"/>
      <w:marRight w:val="0"/>
      <w:marTop w:val="0"/>
      <w:marBottom w:val="0"/>
      <w:divBdr>
        <w:top w:val="none" w:sz="0" w:space="0" w:color="auto"/>
        <w:left w:val="none" w:sz="0" w:space="0" w:color="auto"/>
        <w:bottom w:val="none" w:sz="0" w:space="0" w:color="auto"/>
        <w:right w:val="none" w:sz="0" w:space="0" w:color="auto"/>
      </w:divBdr>
    </w:div>
    <w:div w:id="436565951">
      <w:bodyDiv w:val="1"/>
      <w:marLeft w:val="0"/>
      <w:marRight w:val="0"/>
      <w:marTop w:val="0"/>
      <w:marBottom w:val="0"/>
      <w:divBdr>
        <w:top w:val="none" w:sz="0" w:space="0" w:color="auto"/>
        <w:left w:val="none" w:sz="0" w:space="0" w:color="auto"/>
        <w:bottom w:val="none" w:sz="0" w:space="0" w:color="auto"/>
        <w:right w:val="none" w:sz="0" w:space="0" w:color="auto"/>
      </w:divBdr>
    </w:div>
    <w:div w:id="495733152">
      <w:bodyDiv w:val="1"/>
      <w:marLeft w:val="0"/>
      <w:marRight w:val="0"/>
      <w:marTop w:val="0"/>
      <w:marBottom w:val="0"/>
      <w:divBdr>
        <w:top w:val="none" w:sz="0" w:space="0" w:color="auto"/>
        <w:left w:val="none" w:sz="0" w:space="0" w:color="auto"/>
        <w:bottom w:val="none" w:sz="0" w:space="0" w:color="auto"/>
        <w:right w:val="none" w:sz="0" w:space="0" w:color="auto"/>
      </w:divBdr>
    </w:div>
    <w:div w:id="509761826">
      <w:bodyDiv w:val="1"/>
      <w:marLeft w:val="0"/>
      <w:marRight w:val="0"/>
      <w:marTop w:val="0"/>
      <w:marBottom w:val="0"/>
      <w:divBdr>
        <w:top w:val="none" w:sz="0" w:space="0" w:color="auto"/>
        <w:left w:val="none" w:sz="0" w:space="0" w:color="auto"/>
        <w:bottom w:val="none" w:sz="0" w:space="0" w:color="auto"/>
        <w:right w:val="none" w:sz="0" w:space="0" w:color="auto"/>
      </w:divBdr>
    </w:div>
    <w:div w:id="606886576">
      <w:bodyDiv w:val="1"/>
      <w:marLeft w:val="0"/>
      <w:marRight w:val="0"/>
      <w:marTop w:val="0"/>
      <w:marBottom w:val="0"/>
      <w:divBdr>
        <w:top w:val="none" w:sz="0" w:space="0" w:color="auto"/>
        <w:left w:val="none" w:sz="0" w:space="0" w:color="auto"/>
        <w:bottom w:val="none" w:sz="0" w:space="0" w:color="auto"/>
        <w:right w:val="none" w:sz="0" w:space="0" w:color="auto"/>
      </w:divBdr>
    </w:div>
    <w:div w:id="721294405">
      <w:bodyDiv w:val="1"/>
      <w:marLeft w:val="0"/>
      <w:marRight w:val="0"/>
      <w:marTop w:val="0"/>
      <w:marBottom w:val="0"/>
      <w:divBdr>
        <w:top w:val="none" w:sz="0" w:space="0" w:color="auto"/>
        <w:left w:val="none" w:sz="0" w:space="0" w:color="auto"/>
        <w:bottom w:val="none" w:sz="0" w:space="0" w:color="auto"/>
        <w:right w:val="none" w:sz="0" w:space="0" w:color="auto"/>
      </w:divBdr>
      <w:divsChild>
        <w:div w:id="2057510381">
          <w:blockQuote w:val="1"/>
          <w:marLeft w:val="-450"/>
          <w:marRight w:val="0"/>
          <w:marTop w:val="0"/>
          <w:marBottom w:val="0"/>
          <w:divBdr>
            <w:top w:val="none" w:sz="0" w:space="0" w:color="auto"/>
            <w:left w:val="none" w:sz="0" w:space="0" w:color="auto"/>
            <w:bottom w:val="none" w:sz="0" w:space="0" w:color="auto"/>
            <w:right w:val="none" w:sz="0" w:space="0" w:color="auto"/>
          </w:divBdr>
        </w:div>
        <w:div w:id="754713371">
          <w:marLeft w:val="0"/>
          <w:marRight w:val="0"/>
          <w:marTop w:val="480"/>
          <w:marBottom w:val="480"/>
          <w:divBdr>
            <w:top w:val="none" w:sz="0" w:space="0" w:color="auto"/>
            <w:left w:val="none" w:sz="0" w:space="0" w:color="auto"/>
            <w:bottom w:val="none" w:sz="0" w:space="0" w:color="auto"/>
            <w:right w:val="none" w:sz="0" w:space="0" w:color="auto"/>
          </w:divBdr>
        </w:div>
      </w:divsChild>
    </w:div>
    <w:div w:id="746879877">
      <w:bodyDiv w:val="1"/>
      <w:marLeft w:val="0"/>
      <w:marRight w:val="0"/>
      <w:marTop w:val="0"/>
      <w:marBottom w:val="0"/>
      <w:divBdr>
        <w:top w:val="none" w:sz="0" w:space="0" w:color="auto"/>
        <w:left w:val="none" w:sz="0" w:space="0" w:color="auto"/>
        <w:bottom w:val="none" w:sz="0" w:space="0" w:color="auto"/>
        <w:right w:val="none" w:sz="0" w:space="0" w:color="auto"/>
      </w:divBdr>
    </w:div>
    <w:div w:id="1085884434">
      <w:bodyDiv w:val="1"/>
      <w:marLeft w:val="0"/>
      <w:marRight w:val="0"/>
      <w:marTop w:val="0"/>
      <w:marBottom w:val="0"/>
      <w:divBdr>
        <w:top w:val="none" w:sz="0" w:space="0" w:color="auto"/>
        <w:left w:val="none" w:sz="0" w:space="0" w:color="auto"/>
        <w:bottom w:val="none" w:sz="0" w:space="0" w:color="auto"/>
        <w:right w:val="none" w:sz="0" w:space="0" w:color="auto"/>
      </w:divBdr>
    </w:div>
    <w:div w:id="1104347217">
      <w:bodyDiv w:val="1"/>
      <w:marLeft w:val="0"/>
      <w:marRight w:val="0"/>
      <w:marTop w:val="0"/>
      <w:marBottom w:val="0"/>
      <w:divBdr>
        <w:top w:val="none" w:sz="0" w:space="0" w:color="auto"/>
        <w:left w:val="none" w:sz="0" w:space="0" w:color="auto"/>
        <w:bottom w:val="none" w:sz="0" w:space="0" w:color="auto"/>
        <w:right w:val="none" w:sz="0" w:space="0" w:color="auto"/>
      </w:divBdr>
    </w:div>
    <w:div w:id="1121529574">
      <w:bodyDiv w:val="1"/>
      <w:marLeft w:val="0"/>
      <w:marRight w:val="0"/>
      <w:marTop w:val="0"/>
      <w:marBottom w:val="0"/>
      <w:divBdr>
        <w:top w:val="none" w:sz="0" w:space="0" w:color="auto"/>
        <w:left w:val="none" w:sz="0" w:space="0" w:color="auto"/>
        <w:bottom w:val="none" w:sz="0" w:space="0" w:color="auto"/>
        <w:right w:val="none" w:sz="0" w:space="0" w:color="auto"/>
      </w:divBdr>
    </w:div>
    <w:div w:id="1223712701">
      <w:bodyDiv w:val="1"/>
      <w:marLeft w:val="0"/>
      <w:marRight w:val="0"/>
      <w:marTop w:val="0"/>
      <w:marBottom w:val="0"/>
      <w:divBdr>
        <w:top w:val="none" w:sz="0" w:space="0" w:color="auto"/>
        <w:left w:val="none" w:sz="0" w:space="0" w:color="auto"/>
        <w:bottom w:val="none" w:sz="0" w:space="0" w:color="auto"/>
        <w:right w:val="none" w:sz="0" w:space="0" w:color="auto"/>
      </w:divBdr>
    </w:div>
    <w:div w:id="1536890150">
      <w:bodyDiv w:val="1"/>
      <w:marLeft w:val="0"/>
      <w:marRight w:val="0"/>
      <w:marTop w:val="0"/>
      <w:marBottom w:val="0"/>
      <w:divBdr>
        <w:top w:val="none" w:sz="0" w:space="0" w:color="auto"/>
        <w:left w:val="none" w:sz="0" w:space="0" w:color="auto"/>
        <w:bottom w:val="none" w:sz="0" w:space="0" w:color="auto"/>
        <w:right w:val="none" w:sz="0" w:space="0" w:color="auto"/>
      </w:divBdr>
    </w:div>
    <w:div w:id="1552962198">
      <w:bodyDiv w:val="1"/>
      <w:marLeft w:val="0"/>
      <w:marRight w:val="0"/>
      <w:marTop w:val="0"/>
      <w:marBottom w:val="0"/>
      <w:divBdr>
        <w:top w:val="none" w:sz="0" w:space="0" w:color="auto"/>
        <w:left w:val="none" w:sz="0" w:space="0" w:color="auto"/>
        <w:bottom w:val="none" w:sz="0" w:space="0" w:color="auto"/>
        <w:right w:val="none" w:sz="0" w:space="0" w:color="auto"/>
      </w:divBdr>
    </w:div>
    <w:div w:id="1616860309">
      <w:bodyDiv w:val="1"/>
      <w:marLeft w:val="0"/>
      <w:marRight w:val="0"/>
      <w:marTop w:val="0"/>
      <w:marBottom w:val="0"/>
      <w:divBdr>
        <w:top w:val="none" w:sz="0" w:space="0" w:color="auto"/>
        <w:left w:val="none" w:sz="0" w:space="0" w:color="auto"/>
        <w:bottom w:val="none" w:sz="0" w:space="0" w:color="auto"/>
        <w:right w:val="none" w:sz="0" w:space="0" w:color="auto"/>
      </w:divBdr>
    </w:div>
    <w:div w:id="1650816721">
      <w:bodyDiv w:val="1"/>
      <w:marLeft w:val="0"/>
      <w:marRight w:val="0"/>
      <w:marTop w:val="0"/>
      <w:marBottom w:val="0"/>
      <w:divBdr>
        <w:top w:val="none" w:sz="0" w:space="0" w:color="auto"/>
        <w:left w:val="none" w:sz="0" w:space="0" w:color="auto"/>
        <w:bottom w:val="none" w:sz="0" w:space="0" w:color="auto"/>
        <w:right w:val="none" w:sz="0" w:space="0" w:color="auto"/>
      </w:divBdr>
      <w:divsChild>
        <w:div w:id="2115393004">
          <w:marLeft w:val="0"/>
          <w:marRight w:val="0"/>
          <w:marTop w:val="0"/>
          <w:marBottom w:val="0"/>
          <w:divBdr>
            <w:top w:val="none" w:sz="0" w:space="0" w:color="auto"/>
            <w:left w:val="none" w:sz="0" w:space="0" w:color="auto"/>
            <w:bottom w:val="none" w:sz="0" w:space="0" w:color="auto"/>
            <w:right w:val="none" w:sz="0" w:space="0" w:color="auto"/>
          </w:divBdr>
          <w:divsChild>
            <w:div w:id="1383483137">
              <w:marLeft w:val="0"/>
              <w:marRight w:val="0"/>
              <w:marTop w:val="0"/>
              <w:marBottom w:val="0"/>
              <w:divBdr>
                <w:top w:val="none" w:sz="0" w:space="0" w:color="auto"/>
                <w:left w:val="none" w:sz="0" w:space="0" w:color="auto"/>
                <w:bottom w:val="none" w:sz="0" w:space="0" w:color="auto"/>
                <w:right w:val="none" w:sz="0" w:space="0" w:color="auto"/>
              </w:divBdr>
              <w:divsChild>
                <w:div w:id="1565021786">
                  <w:marLeft w:val="0"/>
                  <w:marRight w:val="0"/>
                  <w:marTop w:val="0"/>
                  <w:marBottom w:val="0"/>
                  <w:divBdr>
                    <w:top w:val="none" w:sz="0" w:space="0" w:color="auto"/>
                    <w:left w:val="none" w:sz="0" w:space="0" w:color="auto"/>
                    <w:bottom w:val="none" w:sz="0" w:space="0" w:color="auto"/>
                    <w:right w:val="none" w:sz="0" w:space="0" w:color="auto"/>
                  </w:divBdr>
                  <w:divsChild>
                    <w:div w:id="893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95185">
      <w:bodyDiv w:val="1"/>
      <w:marLeft w:val="0"/>
      <w:marRight w:val="0"/>
      <w:marTop w:val="0"/>
      <w:marBottom w:val="0"/>
      <w:divBdr>
        <w:top w:val="none" w:sz="0" w:space="0" w:color="auto"/>
        <w:left w:val="none" w:sz="0" w:space="0" w:color="auto"/>
        <w:bottom w:val="none" w:sz="0" w:space="0" w:color="auto"/>
        <w:right w:val="none" w:sz="0" w:space="0" w:color="auto"/>
      </w:divBdr>
    </w:div>
    <w:div w:id="2082167104">
      <w:bodyDiv w:val="1"/>
      <w:marLeft w:val="0"/>
      <w:marRight w:val="0"/>
      <w:marTop w:val="0"/>
      <w:marBottom w:val="0"/>
      <w:divBdr>
        <w:top w:val="none" w:sz="0" w:space="0" w:color="auto"/>
        <w:left w:val="none" w:sz="0" w:space="0" w:color="auto"/>
        <w:bottom w:val="none" w:sz="0" w:space="0" w:color="auto"/>
        <w:right w:val="none" w:sz="0" w:space="0" w:color="auto"/>
      </w:divBdr>
    </w:div>
    <w:div w:id="2099324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better-broader-safer-using-health-data-for-research-and-analysis/better-broader-safer-using-health-data-for-research-and-analysis" TargetMode="External"/><Relationship Id="rId13" Type="http://schemas.openxmlformats.org/officeDocument/2006/relationships/hyperlink" Target="https://www.digitalhealth.net/2021/06/data-strategy-put-nhs-patients-ahead-of-demands-for-profit/" TargetMode="External"/><Relationship Id="rId3" Type="http://schemas.openxmlformats.org/officeDocument/2006/relationships/settings" Target="settings.xml"/><Relationship Id="rId7" Type="http://schemas.openxmlformats.org/officeDocument/2006/relationships/hyperlink" Target="https://keepournhspublic.com/is-your-health-data-at-risk/" TargetMode="External"/><Relationship Id="rId12" Type="http://schemas.openxmlformats.org/officeDocument/2006/relationships/hyperlink" Target="https://committees.parliament.uk/oralevidence/1011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ittees.parliament.uk/oralevidence/1019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better-broader-safer-using-health-data-for-research-and-analysis/better-broader-safer-using-health-data-for-research-and-analysis" TargetMode="External"/><Relationship Id="rId4" Type="http://schemas.openxmlformats.org/officeDocument/2006/relationships/webSettings" Target="webSettings.xml"/><Relationship Id="rId9" Type="http://schemas.openxmlformats.org/officeDocument/2006/relationships/hyperlink" Target="https://committees.parliament.uk/oralevidence/10115/pdf/" TargetMode="External"/><Relationship Id="rId14" Type="http://schemas.openxmlformats.org/officeDocument/2006/relationships/hyperlink" Target="https://committees.parliament.uk/oralevidence/101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2514</Words>
  <Characters>14330</Characters>
  <Application>Microsoft Office Word</Application>
  <DocSecurity>0</DocSecurity>
  <Lines>119</Lines>
  <Paragraphs>33</Paragraphs>
  <ScaleCrop>false</ScaleCrop>
  <Company/>
  <LinksUpToDate>false</LinksUpToDate>
  <CharactersWithSpaces>16811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Olivia O'Sullivan</cp:lastModifiedBy>
  <cp:revision>2</cp:revision>
  <dcterms:created xsi:type="dcterms:W3CDTF">2022-06-15T14:32:00Z</dcterms:created>
  <dcterms:modified xsi:type="dcterms:W3CDTF">2022-06-15T14:32:00Z</dcterms:modified>
</cp:coreProperties>
</file>